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7CE49" w14:textId="6B9D3E73" w:rsidR="00C10572" w:rsidRDefault="00A8476E" w:rsidP="0017310F">
      <w:pPr>
        <w:pStyle w:val="Heading1"/>
        <w:numPr>
          <w:ilvl w:val="0"/>
          <w:numId w:val="0"/>
        </w:numPr>
        <w:ind w:left="432" w:hanging="432"/>
        <w:rPr>
          <w:lang w:eastAsia="en-GB"/>
        </w:rPr>
      </w:pPr>
      <w:r w:rsidRPr="3DA72619">
        <w:rPr>
          <w:lang w:eastAsia="en-GB"/>
        </w:rPr>
        <w:t>Overview</w:t>
      </w:r>
    </w:p>
    <w:p w14:paraId="4D166C2C" w14:textId="1E6F917A" w:rsidR="000F3A0A" w:rsidRDefault="000F3A0A" w:rsidP="00BA1DB8">
      <w:r>
        <w:t xml:space="preserve">Based on the climate action plan 2021, by 2030, Ireland </w:t>
      </w:r>
      <w:r w:rsidR="000C3C53">
        <w:t>targets to</w:t>
      </w:r>
      <w:r>
        <w:t xml:space="preserve"> achieve at least 5 GW of offshore, up to 8 GW of onshore</w:t>
      </w:r>
      <w:r w:rsidR="000C3C53">
        <w:t xml:space="preserve"> wind farm installed capacity</w:t>
      </w:r>
      <w:r>
        <w:t>, and between 1.5 to 2.5 GW</w:t>
      </w:r>
      <w:r w:rsidR="004723F5">
        <w:rPr>
          <w:rStyle w:val="FootnoteReference"/>
        </w:rPr>
        <w:footnoteReference w:id="1"/>
      </w:r>
      <w:r>
        <w:t xml:space="preserve"> of solar PV. In addition, micro and small generation will lead to 760 MW of renewable energy capacity that </w:t>
      </w:r>
      <w:proofErr w:type="gramStart"/>
      <w:r>
        <w:t>may be accompanied</w:t>
      </w:r>
      <w:proofErr w:type="gramEnd"/>
      <w:r>
        <w:t xml:space="preserve"> by behind-the-meter Battery Energy Storage Systems (BESSs). These renewable energy targets make Ireland </w:t>
      </w:r>
      <w:r w:rsidR="007D33DF">
        <w:t>a</w:t>
      </w:r>
      <w:r>
        <w:t xml:space="preserve"> world leader in renewable energy utilization and simultaneously increase </w:t>
      </w:r>
      <w:r w:rsidR="007D33DF">
        <w:t>the country’s</w:t>
      </w:r>
      <w:r>
        <w:t xml:space="preserve"> reliance on the power system flexib</w:t>
      </w:r>
      <w:r w:rsidR="007D33DF">
        <w:t>le</w:t>
      </w:r>
      <w:r w:rsidR="00CD785F">
        <w:t xml:space="preserve"> resources</w:t>
      </w:r>
      <w:r>
        <w:t xml:space="preserve">. </w:t>
      </w:r>
    </w:p>
    <w:p w14:paraId="39DB7F46" w14:textId="36E24F7C" w:rsidR="000F3A0A" w:rsidRDefault="000F3A0A" w:rsidP="00BB36CC">
      <w:r>
        <w:t>M</w:t>
      </w:r>
      <w:r w:rsidRPr="000F3A0A">
        <w:t>ost of the planned interconnections (except the Celtic project) will link Ireland’s power system to Great Britain</w:t>
      </w:r>
      <w:r w:rsidR="007D33DF">
        <w:t>,</w:t>
      </w:r>
      <w:r w:rsidRPr="000F3A0A">
        <w:t xml:space="preserve"> which has similar renewable ambitions and a highly correlated wind regime with the Island</w:t>
      </w:r>
      <w:r w:rsidR="007D33DF">
        <w:t xml:space="preserve"> of Ireland</w:t>
      </w:r>
      <w:r w:rsidRPr="000F3A0A">
        <w:t xml:space="preserve">. </w:t>
      </w:r>
      <w:proofErr w:type="gramStart"/>
      <w:r w:rsidRPr="000F3A0A">
        <w:t>Due to the geographical characteristics of</w:t>
      </w:r>
      <w:r w:rsidR="004B6EC1">
        <w:t xml:space="preserve"> </w:t>
      </w:r>
      <w:r w:rsidR="007D33DF">
        <w:t>Ireland</w:t>
      </w:r>
      <w:r w:rsidRPr="000F3A0A">
        <w:t xml:space="preserve">, namely the limited potential of interconnections to the European member states, and a very limited potential to deploy </w:t>
      </w:r>
      <w:r w:rsidR="00BB36CC">
        <w:t>P</w:t>
      </w:r>
      <w:r w:rsidRPr="000F3A0A">
        <w:t>umped Storage Hydroelectric power plants (PSHs) as a promising flexib</w:t>
      </w:r>
      <w:r w:rsidR="00594808">
        <w:t>le</w:t>
      </w:r>
      <w:r w:rsidRPr="000F3A0A">
        <w:t xml:space="preserve"> resource, our flexibility requirements should be met by alternative domestic flexible resources such as green fuel</w:t>
      </w:r>
      <w:r w:rsidR="00594808">
        <w:t>l</w:t>
      </w:r>
      <w:r w:rsidRPr="000F3A0A">
        <w:t>ed gas power plants or energy storage technologies</w:t>
      </w:r>
      <w:r w:rsidR="00594808">
        <w:t>,</w:t>
      </w:r>
      <w:r w:rsidRPr="000F3A0A">
        <w:t xml:space="preserve"> </w:t>
      </w:r>
      <w:r w:rsidR="00594808">
        <w:t>u</w:t>
      </w:r>
      <w:r w:rsidRPr="000F3A0A">
        <w:t xml:space="preserve">nless the operational problems </w:t>
      </w:r>
      <w:r w:rsidR="00594808">
        <w:t>(</w:t>
      </w:r>
      <w:r w:rsidRPr="000F3A0A">
        <w:t>such as dispatch down of the renewables</w:t>
      </w:r>
      <w:r w:rsidR="00594808">
        <w:t>)</w:t>
      </w:r>
      <w:r w:rsidRPr="000F3A0A">
        <w:t xml:space="preserve"> will prohibit our electricity end-user to capture the whole </w:t>
      </w:r>
      <w:proofErr w:type="spellStart"/>
      <w:r w:rsidRPr="000F3A0A">
        <w:t>economic</w:t>
      </w:r>
      <w:r w:rsidR="000C3C53">
        <w:t>al</w:t>
      </w:r>
      <w:proofErr w:type="spellEnd"/>
      <w:r w:rsidRPr="000F3A0A">
        <w:t xml:space="preserve"> benefits of a high renewable penetrated electricity system</w:t>
      </w:r>
      <w:r>
        <w:t>.</w:t>
      </w:r>
      <w:proofErr w:type="gramEnd"/>
      <w:r>
        <w:t xml:space="preserve"> Flexible resources such as </w:t>
      </w:r>
      <w:r w:rsidR="000C3C53">
        <w:t>BESS</w:t>
      </w:r>
      <w:r>
        <w:t xml:space="preserve">s require promising revenue streams to </w:t>
      </w:r>
      <w:proofErr w:type="gramStart"/>
      <w:r>
        <w:t>be developed</w:t>
      </w:r>
      <w:proofErr w:type="gramEnd"/>
      <w:r>
        <w:t xml:space="preserve"> in the electricity sector, especially in the technology transition phase. </w:t>
      </w:r>
    </w:p>
    <w:p w14:paraId="166C143A" w14:textId="3BC020D9" w:rsidR="00BA1DB8" w:rsidRDefault="00BA1DB8" w:rsidP="00C10572">
      <w:pPr>
        <w:rPr>
          <w:shd w:val="clear" w:color="auto" w:fill="FFFFFF"/>
        </w:rPr>
      </w:pPr>
      <w:r>
        <w:rPr>
          <w:shd w:val="clear" w:color="auto" w:fill="FFFFFF"/>
        </w:rPr>
        <w:t xml:space="preserve">In </w:t>
      </w:r>
      <w:r w:rsidR="000C3C53">
        <w:rPr>
          <w:shd w:val="clear" w:color="auto" w:fill="FFFFFF"/>
        </w:rPr>
        <w:t>our</w:t>
      </w:r>
      <w:r>
        <w:rPr>
          <w:shd w:val="clear" w:color="auto" w:fill="FFFFFF"/>
        </w:rPr>
        <w:t xml:space="preserve"> “Energy Storage in Ireland: Barriers and Policy Interventions” report we have addressed a variety of barriers that are </w:t>
      </w:r>
      <w:r w:rsidR="000C3C53">
        <w:rPr>
          <w:shd w:val="clear" w:color="auto" w:fill="FFFFFF"/>
        </w:rPr>
        <w:t xml:space="preserve">currently </w:t>
      </w:r>
      <w:r>
        <w:rPr>
          <w:shd w:val="clear" w:color="auto" w:fill="FFFFFF"/>
        </w:rPr>
        <w:t>fac</w:t>
      </w:r>
      <w:r w:rsidR="000C3C53">
        <w:rPr>
          <w:shd w:val="clear" w:color="auto" w:fill="FFFFFF"/>
        </w:rPr>
        <w:t>ing and will be faced</w:t>
      </w:r>
      <w:r>
        <w:rPr>
          <w:shd w:val="clear" w:color="auto" w:fill="FFFFFF"/>
        </w:rPr>
        <w:t xml:space="preserve"> </w:t>
      </w:r>
      <w:r w:rsidR="000C3C53">
        <w:rPr>
          <w:shd w:val="clear" w:color="auto" w:fill="FFFFFF"/>
        </w:rPr>
        <w:t xml:space="preserve">in future </w:t>
      </w:r>
      <w:r>
        <w:rPr>
          <w:shd w:val="clear" w:color="auto" w:fill="FFFFFF"/>
        </w:rPr>
        <w:t xml:space="preserve">by the BESSs in Ireland. </w:t>
      </w:r>
      <w:r w:rsidR="00594808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International Energy Research Centre (IERC) is seeking evidence and information to </w:t>
      </w:r>
      <w:r w:rsidR="00BB36CC">
        <w:rPr>
          <w:shd w:val="clear" w:color="auto" w:fill="FFFFFF"/>
        </w:rPr>
        <w:t>identify the</w:t>
      </w:r>
      <w:r>
        <w:rPr>
          <w:shd w:val="clear" w:color="auto" w:fill="FFFFFF"/>
        </w:rPr>
        <w:t xml:space="preserve"> existing barriers and </w:t>
      </w:r>
      <w:r w:rsidR="00594808">
        <w:rPr>
          <w:shd w:val="clear" w:color="auto" w:fill="FFFFFF"/>
        </w:rPr>
        <w:t>determine</w:t>
      </w:r>
      <w:r>
        <w:rPr>
          <w:shd w:val="clear" w:color="auto" w:fill="FFFFFF"/>
        </w:rPr>
        <w:t xml:space="preserve"> the opportunities that BESSs bring to Ireland’s energy system</w:t>
      </w:r>
      <w:r w:rsidR="00636F84">
        <w:rPr>
          <w:shd w:val="clear" w:color="auto" w:fill="FFFFFF"/>
        </w:rPr>
        <w:t>,</w:t>
      </w:r>
      <w:r>
        <w:rPr>
          <w:shd w:val="clear" w:color="auto" w:fill="FFFFFF"/>
        </w:rPr>
        <w:t xml:space="preserve"> enabl</w:t>
      </w:r>
      <w:r w:rsidR="00636F84">
        <w:rPr>
          <w:shd w:val="clear" w:color="auto" w:fill="FFFFFF"/>
        </w:rPr>
        <w:t>ing</w:t>
      </w:r>
      <w:r>
        <w:rPr>
          <w:shd w:val="clear" w:color="auto" w:fill="FFFFFF"/>
        </w:rPr>
        <w:t xml:space="preserve"> </w:t>
      </w:r>
      <w:r w:rsidR="000C3C53">
        <w:rPr>
          <w:shd w:val="clear" w:color="auto" w:fill="FFFFFF"/>
        </w:rPr>
        <w:t xml:space="preserve">these </w:t>
      </w:r>
      <w:proofErr w:type="gramStart"/>
      <w:r>
        <w:rPr>
          <w:shd w:val="clear" w:color="auto" w:fill="FFFFFF"/>
        </w:rPr>
        <w:t>to cost-effectively meet</w:t>
      </w:r>
      <w:proofErr w:type="gramEnd"/>
      <w:r>
        <w:rPr>
          <w:shd w:val="clear" w:color="auto" w:fill="FFFFFF"/>
        </w:rPr>
        <w:t xml:space="preserve"> </w:t>
      </w:r>
      <w:r w:rsidR="00636F84">
        <w:rPr>
          <w:shd w:val="clear" w:color="auto" w:fill="FFFFFF"/>
        </w:rPr>
        <w:t xml:space="preserve">the </w:t>
      </w:r>
      <w:proofErr w:type="spellStart"/>
      <w:r>
        <w:rPr>
          <w:shd w:val="clear" w:color="auto" w:fill="FFFFFF"/>
        </w:rPr>
        <w:t>decarbonization</w:t>
      </w:r>
      <w:proofErr w:type="spellEnd"/>
      <w:r>
        <w:rPr>
          <w:shd w:val="clear" w:color="auto" w:fill="FFFFFF"/>
        </w:rPr>
        <w:t xml:space="preserve"> targets. This</w:t>
      </w:r>
      <w:r w:rsidR="00636F84">
        <w:rPr>
          <w:shd w:val="clear" w:color="auto" w:fill="FFFFFF"/>
        </w:rPr>
        <w:t xml:space="preserve"> call for</w:t>
      </w:r>
      <w:r>
        <w:rPr>
          <w:shd w:val="clear" w:color="auto" w:fill="FFFFFF"/>
        </w:rPr>
        <w:t xml:space="preserve"> evidence will support the development of a peer-reviewed </w:t>
      </w:r>
      <w:r w:rsidR="000C3C53">
        <w:rPr>
          <w:shd w:val="clear" w:color="auto" w:fill="FFFFFF"/>
        </w:rPr>
        <w:t>report/</w:t>
      </w:r>
      <w:r>
        <w:rPr>
          <w:shd w:val="clear" w:color="auto" w:fill="FFFFFF"/>
        </w:rPr>
        <w:t xml:space="preserve">paper that </w:t>
      </w:r>
      <w:proofErr w:type="gramStart"/>
      <w:r>
        <w:rPr>
          <w:shd w:val="clear" w:color="auto" w:fill="FFFFFF"/>
        </w:rPr>
        <w:t>will be published</w:t>
      </w:r>
      <w:proofErr w:type="gramEnd"/>
      <w:r>
        <w:rPr>
          <w:shd w:val="clear" w:color="auto" w:fill="FFFFFF"/>
        </w:rPr>
        <w:t xml:space="preserve"> to deliver empirical-evidence-based suggestions for policy considerations in </w:t>
      </w:r>
      <w:r w:rsidR="00636F84">
        <w:rPr>
          <w:shd w:val="clear" w:color="auto" w:fill="FFFFFF"/>
        </w:rPr>
        <w:t xml:space="preserve">relation to </w:t>
      </w:r>
      <w:r>
        <w:rPr>
          <w:shd w:val="clear" w:color="auto" w:fill="FFFFFF"/>
        </w:rPr>
        <w:t>BESSs development</w:t>
      </w:r>
      <w:r w:rsidR="00636F84">
        <w:rPr>
          <w:shd w:val="clear" w:color="auto" w:fill="FFFFFF"/>
        </w:rPr>
        <w:t>,</w:t>
      </w:r>
      <w:r>
        <w:rPr>
          <w:shd w:val="clear" w:color="auto" w:fill="FFFFFF"/>
        </w:rPr>
        <w:t xml:space="preserve"> to the Department of Environment, Climate, and Communications.</w:t>
      </w:r>
    </w:p>
    <w:p w14:paraId="2242C4B9" w14:textId="362A78E1" w:rsidR="00AE0933" w:rsidRDefault="003F01BD" w:rsidP="00C10572">
      <w:r>
        <w:t>Information that we receive through this call for e</w:t>
      </w:r>
      <w:r w:rsidR="00AE0933">
        <w:t xml:space="preserve">vidence will help us to: </w:t>
      </w:r>
    </w:p>
    <w:p w14:paraId="53AF706B" w14:textId="71532383" w:rsidR="00AE0933" w:rsidRDefault="00AE0933" w:rsidP="00FF37CE">
      <w:pPr>
        <w:pStyle w:val="ListParagraph"/>
        <w:numPr>
          <w:ilvl w:val="0"/>
          <w:numId w:val="2"/>
        </w:numPr>
      </w:pPr>
      <w:r>
        <w:t xml:space="preserve">Support the development of </w:t>
      </w:r>
      <w:r w:rsidR="00FF37CE">
        <w:rPr>
          <w:b/>
          <w:bCs/>
        </w:rPr>
        <w:t>BESSs</w:t>
      </w:r>
      <w:r>
        <w:t xml:space="preserve"> in Ireland; </w:t>
      </w:r>
    </w:p>
    <w:p w14:paraId="424C290B" w14:textId="5043F7D0" w:rsidR="00AE0933" w:rsidRDefault="00AE0933" w:rsidP="00FF37CE">
      <w:pPr>
        <w:pStyle w:val="ListParagraph"/>
        <w:numPr>
          <w:ilvl w:val="0"/>
          <w:numId w:val="2"/>
        </w:numPr>
      </w:pPr>
      <w:r>
        <w:lastRenderedPageBreak/>
        <w:t>Collect evidence on the challenges and opportunities associated with the</w:t>
      </w:r>
      <w:r w:rsidRPr="3DA72619">
        <w:rPr>
          <w:b/>
          <w:bCs/>
        </w:rPr>
        <w:t xml:space="preserve"> </w:t>
      </w:r>
      <w:r w:rsidR="00FF37CE" w:rsidRPr="00FF37CE">
        <w:t>development of</w:t>
      </w:r>
      <w:r w:rsidR="00FF37CE">
        <w:rPr>
          <w:b/>
          <w:bCs/>
        </w:rPr>
        <w:t xml:space="preserve"> BESSs </w:t>
      </w:r>
      <w:r w:rsidR="00FF37CE" w:rsidRPr="00FF37CE">
        <w:t>in the electricity sector</w:t>
      </w:r>
      <w:r>
        <w:t xml:space="preserve">; </w:t>
      </w:r>
    </w:p>
    <w:p w14:paraId="711E6789" w14:textId="0234B809" w:rsidR="00227852" w:rsidRPr="00227852" w:rsidRDefault="00227852" w:rsidP="004B6EC1">
      <w:pPr>
        <w:pStyle w:val="ListParagraph"/>
        <w:numPr>
          <w:ilvl w:val="0"/>
          <w:numId w:val="2"/>
        </w:numPr>
      </w:pPr>
      <w:r>
        <w:t xml:space="preserve">Collect evidence on the challenges and opportunities associated with the </w:t>
      </w:r>
      <w:r w:rsidR="00FF37CE">
        <w:rPr>
          <w:b/>
          <w:bCs/>
        </w:rPr>
        <w:t>integration of BESSs</w:t>
      </w:r>
      <w:r w:rsidRPr="004B6EC1">
        <w:rPr>
          <w:b/>
          <w:bCs/>
        </w:rPr>
        <w:t xml:space="preserve"> </w:t>
      </w:r>
      <w:r w:rsidR="004B6EC1">
        <w:rPr>
          <w:b/>
          <w:bCs/>
        </w:rPr>
        <w:t>to</w:t>
      </w:r>
      <w:r w:rsidR="00636F84" w:rsidRPr="004B6EC1">
        <w:rPr>
          <w:b/>
          <w:bCs/>
        </w:rPr>
        <w:t xml:space="preserve"> the electricity market</w:t>
      </w:r>
      <w:r w:rsidR="00636F84">
        <w:t xml:space="preserve"> </w:t>
      </w:r>
      <w:r>
        <w:t xml:space="preserve">in Ireland; </w:t>
      </w:r>
    </w:p>
    <w:p w14:paraId="188525B4" w14:textId="58C92FEE" w:rsidR="002E3862" w:rsidRDefault="00227852" w:rsidP="00FF37CE">
      <w:pPr>
        <w:pStyle w:val="ListParagraph"/>
        <w:numPr>
          <w:ilvl w:val="0"/>
          <w:numId w:val="2"/>
        </w:numPr>
      </w:pPr>
      <w:r>
        <w:t xml:space="preserve">Collect evidence on the challenges and opportunities associated with the </w:t>
      </w:r>
      <w:r w:rsidR="00FF37CE">
        <w:rPr>
          <w:b/>
          <w:bCs/>
        </w:rPr>
        <w:t>provision of long</w:t>
      </w:r>
      <w:r w:rsidR="000C3C53">
        <w:rPr>
          <w:b/>
          <w:bCs/>
        </w:rPr>
        <w:t>-</w:t>
      </w:r>
      <w:r w:rsidR="00FF37CE">
        <w:rPr>
          <w:b/>
          <w:bCs/>
        </w:rPr>
        <w:t>duration energy storage</w:t>
      </w:r>
      <w:r w:rsidR="00636F84">
        <w:rPr>
          <w:b/>
          <w:bCs/>
        </w:rPr>
        <w:t xml:space="preserve"> service</w:t>
      </w:r>
      <w:r w:rsidR="000C3C53">
        <w:rPr>
          <w:b/>
          <w:bCs/>
        </w:rPr>
        <w:t>s</w:t>
      </w:r>
      <w:r w:rsidR="00E61E6D">
        <w:t>.</w:t>
      </w:r>
    </w:p>
    <w:p w14:paraId="4E6D6E60" w14:textId="26CBFC9A" w:rsidR="002E3862" w:rsidRDefault="002E3862" w:rsidP="00FF37CE">
      <w:pPr>
        <w:pStyle w:val="ListParagraph"/>
        <w:numPr>
          <w:ilvl w:val="0"/>
          <w:numId w:val="2"/>
        </w:numPr>
      </w:pPr>
      <w:r w:rsidRPr="002E3862">
        <w:t xml:space="preserve">Provide feedback on the current draft document titled </w:t>
      </w:r>
      <w:r w:rsidR="000C3C53">
        <w:t>“</w:t>
      </w:r>
      <w:r w:rsidR="00FF37CE" w:rsidRPr="000F3A0A">
        <w:t>Energy Storage in Ireland: Barriers and Policy Interventions</w:t>
      </w:r>
      <w:r w:rsidR="000C3C53">
        <w:t>”.</w:t>
      </w:r>
    </w:p>
    <w:p w14:paraId="4FBAD45D" w14:textId="05CF12D6" w:rsidR="0094496D" w:rsidRDefault="008E1238" w:rsidP="008F5E11">
      <w:r>
        <w:t xml:space="preserve">The call for evidence below is divided into </w:t>
      </w:r>
      <w:r w:rsidR="008F5E11">
        <w:t>8</w:t>
      </w:r>
      <w:r>
        <w:t xml:space="preserve"> </w:t>
      </w:r>
      <w:r w:rsidR="001F1AD7">
        <w:t>sections</w:t>
      </w:r>
      <w:r>
        <w:t xml:space="preserve"> addressing the future policy and roles of </w:t>
      </w:r>
      <w:r w:rsidR="000060EA">
        <w:t>BESSs</w:t>
      </w:r>
      <w:r w:rsidR="008E6ADD">
        <w:t xml:space="preserve"> as per above</w:t>
      </w:r>
      <w:r w:rsidR="00555049">
        <w:t xml:space="preserve"> and feedback on the draft document</w:t>
      </w:r>
      <w:r w:rsidR="008E6ADD">
        <w:t xml:space="preserve">. </w:t>
      </w:r>
      <w:r w:rsidR="0094496D">
        <w:t xml:space="preserve">The responses to each of the questions below </w:t>
      </w:r>
      <w:proofErr w:type="gramStart"/>
      <w:r w:rsidR="00773076">
        <w:t xml:space="preserve">can </w:t>
      </w:r>
      <w:r w:rsidR="0094496D">
        <w:t>be filled</w:t>
      </w:r>
      <w:proofErr w:type="gramEnd"/>
      <w:r w:rsidR="0094496D">
        <w:t xml:space="preserve"> into this document and the document should be returned by e-mail </w:t>
      </w:r>
      <w:r w:rsidR="008F5E11">
        <w:t>to</w:t>
      </w:r>
      <w:r w:rsidR="00773076">
        <w:t xml:space="preserve"> </w:t>
      </w:r>
      <w:hyperlink r:id="rId11" w:history="1">
        <w:r w:rsidR="00773076" w:rsidRPr="00773076">
          <w:rPr>
            <w:rStyle w:val="Hyperlink"/>
          </w:rPr>
          <w:t>info@ierc.ie</w:t>
        </w:r>
      </w:hyperlink>
      <w:r w:rsidR="0094496D">
        <w:t>.</w:t>
      </w:r>
    </w:p>
    <w:p w14:paraId="49DF18A4" w14:textId="3940962D" w:rsidR="00E61E6D" w:rsidRPr="00227852" w:rsidRDefault="008E6ADD" w:rsidP="004B6EC1">
      <w:r>
        <w:t xml:space="preserve">Responses </w:t>
      </w:r>
      <w:r w:rsidR="004B6EC1">
        <w:rPr>
          <w:b/>
          <w:bCs/>
          <w:i/>
          <w:iCs/>
          <w:u w:val="single"/>
        </w:rPr>
        <w:t>may</w:t>
      </w:r>
      <w:r w:rsidRPr="004B6EC1">
        <w:rPr>
          <w:b/>
          <w:bCs/>
          <w:i/>
          <w:iCs/>
          <w:u w:val="single"/>
        </w:rPr>
        <w:t xml:space="preserve"> not</w:t>
      </w:r>
      <w:r>
        <w:t xml:space="preserve"> cover </w:t>
      </w:r>
      <w:r w:rsidRPr="00A23162">
        <w:rPr>
          <w:b/>
          <w:bCs/>
          <w:i/>
          <w:iCs/>
          <w:u w:val="single"/>
        </w:rPr>
        <w:t>all sections</w:t>
      </w:r>
      <w:r>
        <w:t xml:space="preserve"> or even </w:t>
      </w:r>
      <w:r w:rsidRPr="004B6EC1">
        <w:rPr>
          <w:b/>
          <w:bCs/>
          <w:i/>
          <w:iCs/>
          <w:u w:val="single"/>
        </w:rPr>
        <w:t>an entire section</w:t>
      </w:r>
      <w:r>
        <w:t xml:space="preserve">. This is a broad call for </w:t>
      </w:r>
      <w:r w:rsidR="63ECF206">
        <w:t>evidence,</w:t>
      </w:r>
      <w:r>
        <w:t xml:space="preserve"> and we acknowledge that not all stakeholders will have time to complete all sections.  </w:t>
      </w:r>
      <w:r w:rsidR="00D60857" w:rsidRPr="00A23162">
        <w:rPr>
          <w:b/>
          <w:bCs/>
          <w:i/>
          <w:iCs/>
          <w:u w:val="single"/>
        </w:rPr>
        <w:t xml:space="preserve">Please feel free to provide us with your valuable feedback on the </w:t>
      </w:r>
      <w:r w:rsidR="00FF4907" w:rsidRPr="00A23162">
        <w:rPr>
          <w:b/>
          <w:bCs/>
          <w:i/>
          <w:iCs/>
          <w:u w:val="single"/>
        </w:rPr>
        <w:t>draft</w:t>
      </w:r>
      <w:r w:rsidR="00D60857" w:rsidRPr="00A23162">
        <w:rPr>
          <w:b/>
          <w:bCs/>
          <w:i/>
          <w:iCs/>
          <w:u w:val="single"/>
        </w:rPr>
        <w:t xml:space="preserve"> version of the policy report</w:t>
      </w:r>
      <w:r w:rsidR="00D60857">
        <w:t xml:space="preserve">. </w:t>
      </w:r>
    </w:p>
    <w:p w14:paraId="14E4A85B" w14:textId="4045F259" w:rsidR="00227852" w:rsidRPr="005639F2" w:rsidRDefault="00227852" w:rsidP="00C10572">
      <w:pPr>
        <w:rPr>
          <w:b/>
        </w:rPr>
      </w:pPr>
      <w:r w:rsidRPr="005639F2">
        <w:rPr>
          <w:b/>
        </w:rPr>
        <w:t>About IERC</w:t>
      </w:r>
    </w:p>
    <w:p w14:paraId="68D60A63" w14:textId="77777777" w:rsidR="00227852" w:rsidRDefault="00227852" w:rsidP="00C10572">
      <w:r>
        <w:t xml:space="preserve">The International Energy Research Centre at Tyndall National Institute is Ireland’s leading not-for-profit professional energy research </w:t>
      </w:r>
      <w:proofErr w:type="gramStart"/>
      <w:r>
        <w:t>centre,</w:t>
      </w:r>
      <w:proofErr w:type="gramEnd"/>
      <w:r>
        <w:t xml:space="preserve"> our work is independent and is free of any expressed technological bias, ideology or political position. </w:t>
      </w:r>
    </w:p>
    <w:p w14:paraId="018D7858" w14:textId="0792E8CE" w:rsidR="003F01BD" w:rsidRDefault="00EE60DA" w:rsidP="00C10572">
      <w:r>
        <w:t>This study is funded by the Department of the Environment, Climate, and Communications (DECC) Research &amp; Development (R&amp;D) Programme and is prepared under International Energy Research Centre’s (IERC) Energy Policy Insights for Climate Action (EPICA) Project.</w:t>
      </w:r>
    </w:p>
    <w:p w14:paraId="29F9DFDC" w14:textId="720DB729" w:rsidR="001F1AD7" w:rsidRDefault="001F1AD7" w:rsidP="00C10572"/>
    <w:p w14:paraId="1338A199" w14:textId="7E9C2E3D" w:rsidR="001F1AD7" w:rsidRDefault="001F1AD7" w:rsidP="00C10572"/>
    <w:p w14:paraId="48A6DB30" w14:textId="4433922F" w:rsidR="001F1AD7" w:rsidRDefault="001F1AD7" w:rsidP="00C10572"/>
    <w:p w14:paraId="097BF570" w14:textId="73836D6D" w:rsidR="001F1AD7" w:rsidRDefault="001F1AD7" w:rsidP="00C10572"/>
    <w:p w14:paraId="1409E117" w14:textId="5A0CF7CF" w:rsidR="001F1AD7" w:rsidRDefault="001F1AD7" w:rsidP="00C10572"/>
    <w:p w14:paraId="3E8BB2D7" w14:textId="1058B880" w:rsidR="001F1AD7" w:rsidRDefault="001F1AD7" w:rsidP="00C10572"/>
    <w:p w14:paraId="36AACA89" w14:textId="5128C0E9" w:rsidR="001F1AD7" w:rsidRDefault="001F1AD7" w:rsidP="00C10572"/>
    <w:p w14:paraId="237D8E00" w14:textId="22BD6A4C" w:rsidR="001F1AD7" w:rsidRDefault="001F1AD7" w:rsidP="00C10572"/>
    <w:p w14:paraId="57A3A659" w14:textId="3C317BC6" w:rsidR="001F1AD7" w:rsidRDefault="001F1AD7" w:rsidP="00C10572"/>
    <w:p w14:paraId="0E269726" w14:textId="7C4B6423" w:rsidR="002158F6" w:rsidRDefault="002158F6" w:rsidP="00A0489D">
      <w:pPr>
        <w:pStyle w:val="Heading1"/>
        <w:numPr>
          <w:ilvl w:val="0"/>
          <w:numId w:val="0"/>
        </w:numPr>
        <w:ind w:left="432" w:hanging="432"/>
        <w:rPr>
          <w:lang w:eastAsia="en-GB"/>
        </w:rPr>
      </w:pPr>
      <w:r w:rsidRPr="3DA72619">
        <w:rPr>
          <w:lang w:eastAsia="en-GB"/>
        </w:rPr>
        <w:t xml:space="preserve">Section 1: </w:t>
      </w:r>
      <w:r w:rsidR="00A0489D">
        <w:rPr>
          <w:lang w:eastAsia="en-GB"/>
        </w:rPr>
        <w:t>Capacity Markets</w:t>
      </w:r>
      <w:r w:rsidR="00E15CA2">
        <w:rPr>
          <w:lang w:eastAsia="en-GB"/>
        </w:rPr>
        <w:t xml:space="preserve"> Participation</w:t>
      </w:r>
      <w:r w:rsidR="000823CB">
        <w:rPr>
          <w:rStyle w:val="FootnoteReference"/>
          <w:lang w:eastAsia="en-GB"/>
        </w:rPr>
        <w:footnoteReference w:id="2"/>
      </w:r>
    </w:p>
    <w:p w14:paraId="6AC3F7AA" w14:textId="291B6C11" w:rsidR="00502743" w:rsidRPr="00502743" w:rsidRDefault="00E313F7" w:rsidP="000823CB">
      <w:pPr>
        <w:pStyle w:val="ListParagraph"/>
        <w:numPr>
          <w:ilvl w:val="0"/>
          <w:numId w:val="5"/>
        </w:numPr>
        <w:rPr>
          <w:lang w:eastAsia="en-GB"/>
        </w:rPr>
      </w:pPr>
      <w:r w:rsidRPr="00A0489D">
        <w:rPr>
          <w:lang w:eastAsia="en-GB"/>
        </w:rPr>
        <w:t xml:space="preserve">What </w:t>
      </w:r>
      <w:r>
        <w:rPr>
          <w:lang w:eastAsia="en-GB"/>
        </w:rPr>
        <w:t>are</w:t>
      </w:r>
      <w:r w:rsidRPr="00A0489D">
        <w:rPr>
          <w:lang w:eastAsia="en-GB"/>
        </w:rPr>
        <w:t xml:space="preserve"> the reason</w:t>
      </w:r>
      <w:r>
        <w:rPr>
          <w:lang w:eastAsia="en-GB"/>
        </w:rPr>
        <w:t>s</w:t>
      </w:r>
      <w:r w:rsidRPr="00A0489D">
        <w:rPr>
          <w:lang w:eastAsia="en-GB"/>
        </w:rPr>
        <w:t xml:space="preserve"> that, in the capacity auctions, existing </w:t>
      </w:r>
      <w:r w:rsidR="002B3D2A">
        <w:rPr>
          <w:lang w:eastAsia="en-GB"/>
        </w:rPr>
        <w:t>BESS</w:t>
      </w:r>
      <w:r w:rsidR="000C3C53">
        <w:rPr>
          <w:lang w:eastAsia="en-GB"/>
        </w:rPr>
        <w:t>s</w:t>
      </w:r>
      <w:r w:rsidRPr="00A0489D">
        <w:rPr>
          <w:lang w:eastAsia="en-GB"/>
        </w:rPr>
        <w:t xml:space="preserve"> </w:t>
      </w:r>
      <w:r w:rsidR="000C3C53">
        <w:rPr>
          <w:lang w:eastAsia="en-GB"/>
        </w:rPr>
        <w:t>are not</w:t>
      </w:r>
      <w:r w:rsidRPr="00A0489D">
        <w:rPr>
          <w:lang w:eastAsia="en-GB"/>
        </w:rPr>
        <w:t xml:space="preserve"> </w:t>
      </w:r>
      <w:r w:rsidR="000B649D">
        <w:rPr>
          <w:lang w:eastAsia="en-GB"/>
        </w:rPr>
        <w:t>participating</w:t>
      </w:r>
      <w:r w:rsidR="002B3D2A">
        <w:rPr>
          <w:lang w:eastAsia="en-GB"/>
        </w:rPr>
        <w:t xml:space="preserve"> and only </w:t>
      </w:r>
      <w:r>
        <w:rPr>
          <w:lang w:eastAsia="en-GB"/>
        </w:rPr>
        <w:t xml:space="preserve">small new </w:t>
      </w:r>
      <w:r w:rsidR="002B3D2A">
        <w:rPr>
          <w:lang w:eastAsia="en-GB"/>
        </w:rPr>
        <w:t>BESS</w:t>
      </w:r>
      <w:r>
        <w:rPr>
          <w:lang w:eastAsia="en-GB"/>
        </w:rPr>
        <w:t>s have participated?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502743" w14:paraId="5B158D16" w14:textId="77777777" w:rsidTr="004723F5">
        <w:trPr>
          <w:trHeight w:val="414"/>
        </w:trPr>
        <w:tc>
          <w:tcPr>
            <w:tcW w:w="5000" w:type="pct"/>
          </w:tcPr>
          <w:p w14:paraId="1D2903CD" w14:textId="77777777" w:rsidR="00502743" w:rsidRDefault="00502743" w:rsidP="00C10572">
            <w:pPr>
              <w:rPr>
                <w:lang w:eastAsia="en-GB"/>
              </w:rPr>
            </w:pPr>
          </w:p>
          <w:p w14:paraId="02CBAF6D" w14:textId="3255B5B7" w:rsidR="00502743" w:rsidRDefault="00502743" w:rsidP="00C10572">
            <w:pPr>
              <w:rPr>
                <w:lang w:eastAsia="en-GB"/>
              </w:rPr>
            </w:pPr>
          </w:p>
        </w:tc>
      </w:tr>
    </w:tbl>
    <w:p w14:paraId="09199CC9" w14:textId="5923F7CB" w:rsidR="00912141" w:rsidRDefault="00A0020B" w:rsidP="00A0020B">
      <w:pPr>
        <w:pStyle w:val="ListParagraph"/>
        <w:numPr>
          <w:ilvl w:val="0"/>
          <w:numId w:val="5"/>
        </w:numPr>
        <w:rPr>
          <w:lang w:eastAsia="en-GB"/>
        </w:rPr>
      </w:pPr>
      <w:r>
        <w:t>S</w:t>
      </w:r>
      <w:r w:rsidR="008D520E">
        <w:t>hould</w:t>
      </w:r>
      <w:r w:rsidR="00D4351D">
        <w:t xml:space="preserve"> the capacity auction’s revenues support the financing of new</w:t>
      </w:r>
      <w:r w:rsidR="0092536D">
        <w:t xml:space="preserve"> BESS</w:t>
      </w:r>
      <w:r w:rsidR="00D4351D">
        <w:t xml:space="preserve"> project</w:t>
      </w:r>
      <w:r>
        <w:t>s</w:t>
      </w:r>
      <w:r w:rsidR="00D4351D">
        <w:t xml:space="preserve">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4351D" w14:paraId="2D00994C" w14:textId="77777777" w:rsidTr="00B3799F">
        <w:trPr>
          <w:trHeight w:val="1307"/>
        </w:trPr>
        <w:tc>
          <w:tcPr>
            <w:tcW w:w="5000" w:type="pct"/>
          </w:tcPr>
          <w:p w14:paraId="1E653DCD" w14:textId="77777777" w:rsidR="00D4351D" w:rsidRDefault="00D4351D" w:rsidP="00C10572">
            <w:pPr>
              <w:rPr>
                <w:lang w:eastAsia="en-GB"/>
              </w:rPr>
            </w:pPr>
          </w:p>
        </w:tc>
      </w:tr>
    </w:tbl>
    <w:p w14:paraId="4F4CA827" w14:textId="03C6833D" w:rsidR="00D4351D" w:rsidRDefault="000B649D" w:rsidP="004E3960">
      <w:pPr>
        <w:pStyle w:val="ListParagraph"/>
        <w:numPr>
          <w:ilvl w:val="0"/>
          <w:numId w:val="5"/>
        </w:numPr>
        <w:rPr>
          <w:lang w:eastAsia="en-GB"/>
        </w:rPr>
      </w:pPr>
      <w:r>
        <w:rPr>
          <w:lang w:val="en-GB"/>
        </w:rPr>
        <w:t xml:space="preserve">Under the current </w:t>
      </w:r>
      <w:proofErr w:type="gramStart"/>
      <w:r>
        <w:rPr>
          <w:lang w:val="en-GB"/>
        </w:rPr>
        <w:t>regime</w:t>
      </w:r>
      <w:proofErr w:type="gramEnd"/>
      <w:r>
        <w:rPr>
          <w:lang w:val="en-GB"/>
        </w:rPr>
        <w:t xml:space="preserve"> there are no</w:t>
      </w:r>
      <w:r w:rsidR="00BD3F39">
        <w:rPr>
          <w:lang w:val="en-GB"/>
        </w:rPr>
        <w:t xml:space="preserve"> energy payments for capacity-</w:t>
      </w:r>
      <w:r w:rsidR="008D520E" w:rsidRPr="007E3D09">
        <w:rPr>
          <w:lang w:val="en-GB"/>
        </w:rPr>
        <w:t>providing units when they are called to provide the required capacity</w:t>
      </w:r>
      <w:r>
        <w:rPr>
          <w:lang w:val="en-GB"/>
        </w:rPr>
        <w:t xml:space="preserve">. </w:t>
      </w:r>
      <w:r w:rsidR="008D520E" w:rsidRPr="007E3D09">
        <w:rPr>
          <w:lang w:val="en-GB"/>
        </w:rPr>
        <w:t xml:space="preserve"> </w:t>
      </w:r>
      <w:r>
        <w:rPr>
          <w:lang w:val="en-GB"/>
        </w:rPr>
        <w:t>Is this</w:t>
      </w:r>
      <w:r w:rsidR="005D735C" w:rsidRPr="007E3D09">
        <w:rPr>
          <w:lang w:val="en-GB"/>
        </w:rPr>
        <w:t xml:space="preserve"> a barrier for the engagement of BESSs?</w:t>
      </w:r>
      <w:r w:rsidR="008D520E" w:rsidRPr="007E3D09">
        <w:rPr>
          <w:lang w:val="en-GB"/>
        </w:rPr>
        <w:t xml:space="preserve"> </w:t>
      </w:r>
      <w:r w:rsidR="005D735C" w:rsidRPr="007E3D09">
        <w:rPr>
          <w:lang w:val="en-GB"/>
        </w:rPr>
        <w:t xml:space="preserve">How this potential barrier </w:t>
      </w:r>
      <w:proofErr w:type="gramStart"/>
      <w:r w:rsidR="005D735C" w:rsidRPr="007E3D09">
        <w:rPr>
          <w:lang w:val="en-GB"/>
        </w:rPr>
        <w:t xml:space="preserve">could be </w:t>
      </w:r>
      <w:r>
        <w:rPr>
          <w:lang w:val="en-GB"/>
        </w:rPr>
        <w:t xml:space="preserve">most appropriately </w:t>
      </w:r>
      <w:r w:rsidR="004E3960">
        <w:rPr>
          <w:lang w:val="en-GB"/>
        </w:rPr>
        <w:t>mitigated</w:t>
      </w:r>
      <w:proofErr w:type="gramEnd"/>
      <w:r w:rsidR="005D735C">
        <w:rPr>
          <w:lang w:val="en-GB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4351D" w14:paraId="38912463" w14:textId="77777777" w:rsidTr="00B3799F">
        <w:trPr>
          <w:trHeight w:val="1505"/>
        </w:trPr>
        <w:tc>
          <w:tcPr>
            <w:tcW w:w="5000" w:type="pct"/>
          </w:tcPr>
          <w:p w14:paraId="252FDF2A" w14:textId="77777777" w:rsidR="00D4351D" w:rsidRDefault="00D4351D" w:rsidP="00E15CA2">
            <w:pPr>
              <w:rPr>
                <w:lang w:eastAsia="en-GB"/>
              </w:rPr>
            </w:pPr>
          </w:p>
        </w:tc>
      </w:tr>
    </w:tbl>
    <w:p w14:paraId="7D2C021D" w14:textId="544DE1CB" w:rsidR="00912141" w:rsidRDefault="00912141" w:rsidP="00E313F7">
      <w:pPr>
        <w:pStyle w:val="Heading1"/>
        <w:numPr>
          <w:ilvl w:val="0"/>
          <w:numId w:val="0"/>
        </w:numPr>
        <w:ind w:left="432" w:hanging="432"/>
        <w:rPr>
          <w:lang w:eastAsia="en-GB"/>
        </w:rPr>
      </w:pPr>
      <w:r w:rsidRPr="3DA72619">
        <w:rPr>
          <w:lang w:eastAsia="en-GB"/>
        </w:rPr>
        <w:t xml:space="preserve">Section </w:t>
      </w:r>
      <w:r>
        <w:rPr>
          <w:lang w:eastAsia="en-GB"/>
        </w:rPr>
        <w:t>2</w:t>
      </w:r>
      <w:r w:rsidRPr="3DA72619">
        <w:rPr>
          <w:lang w:eastAsia="en-GB"/>
        </w:rPr>
        <w:t xml:space="preserve">: </w:t>
      </w:r>
      <w:r w:rsidR="00E313F7">
        <w:rPr>
          <w:lang w:eastAsia="en-GB"/>
        </w:rPr>
        <w:t>Balancing Market</w:t>
      </w:r>
      <w:r w:rsidR="00E15CA2">
        <w:rPr>
          <w:lang w:eastAsia="en-GB"/>
        </w:rPr>
        <w:t xml:space="preserve"> Participation</w:t>
      </w:r>
    </w:p>
    <w:p w14:paraId="178491F1" w14:textId="45D22BAD" w:rsidR="008967EA" w:rsidRPr="007805B9" w:rsidDel="00502743" w:rsidRDefault="008967EA" w:rsidP="004723F5">
      <w:pPr>
        <w:pStyle w:val="ListParagraph"/>
        <w:ind w:left="0"/>
        <w:rPr>
          <w:highlight w:val="red"/>
          <w:lang w:eastAsia="en-GB"/>
        </w:rPr>
      </w:pPr>
    </w:p>
    <w:p w14:paraId="0D73057F" w14:textId="7A6474CE" w:rsidR="00C263F4" w:rsidRDefault="00C263F4" w:rsidP="00BD3F39">
      <w:pPr>
        <w:pStyle w:val="ListParagraph"/>
        <w:numPr>
          <w:ilvl w:val="0"/>
          <w:numId w:val="6"/>
        </w:numPr>
        <w:rPr>
          <w:lang w:eastAsia="en-GB"/>
        </w:rPr>
      </w:pPr>
      <w:r>
        <w:rPr>
          <w:lang w:eastAsia="en-GB"/>
        </w:rPr>
        <w:t>What would be the most cost</w:t>
      </w:r>
      <w:r w:rsidR="00BD3F39">
        <w:rPr>
          <w:lang w:eastAsia="en-GB"/>
        </w:rPr>
        <w:t>-</w:t>
      </w:r>
      <w:r>
        <w:rPr>
          <w:lang w:eastAsia="en-GB"/>
        </w:rPr>
        <w:t xml:space="preserve">effective and efficient way to engage the BESSs in the BM while preserving the reliability of supply?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C263F4" w14:paraId="46B15102" w14:textId="77777777" w:rsidTr="00B3799F">
        <w:trPr>
          <w:trHeight w:val="1370"/>
        </w:trPr>
        <w:tc>
          <w:tcPr>
            <w:tcW w:w="5000" w:type="pct"/>
          </w:tcPr>
          <w:p w14:paraId="1C9CCEAC" w14:textId="77777777" w:rsidR="00C263F4" w:rsidRDefault="00C263F4" w:rsidP="00C263F4">
            <w:pPr>
              <w:pStyle w:val="ListParagraph"/>
              <w:ind w:left="0"/>
              <w:rPr>
                <w:lang w:eastAsia="en-GB"/>
              </w:rPr>
            </w:pPr>
          </w:p>
        </w:tc>
      </w:tr>
    </w:tbl>
    <w:p w14:paraId="4F991ABE" w14:textId="4AC16172" w:rsidR="008967EA" w:rsidRDefault="008967EA" w:rsidP="008967EA">
      <w:pPr>
        <w:pStyle w:val="Heading1"/>
        <w:numPr>
          <w:ilvl w:val="0"/>
          <w:numId w:val="0"/>
        </w:numPr>
        <w:ind w:left="432" w:hanging="432"/>
        <w:rPr>
          <w:lang w:eastAsia="en-GB"/>
        </w:rPr>
      </w:pPr>
      <w:r w:rsidRPr="3DA72619">
        <w:rPr>
          <w:lang w:eastAsia="en-GB"/>
        </w:rPr>
        <w:lastRenderedPageBreak/>
        <w:t xml:space="preserve">Section </w:t>
      </w:r>
      <w:r>
        <w:rPr>
          <w:lang w:eastAsia="en-GB"/>
        </w:rPr>
        <w:t>3</w:t>
      </w:r>
      <w:r w:rsidRPr="3DA72619">
        <w:rPr>
          <w:lang w:eastAsia="en-GB"/>
        </w:rPr>
        <w:t xml:space="preserve">: </w:t>
      </w:r>
      <w:r>
        <w:rPr>
          <w:lang w:eastAsia="en-GB"/>
        </w:rPr>
        <w:t>Ex-ante Markets</w:t>
      </w:r>
      <w:r w:rsidR="00E15CA2">
        <w:rPr>
          <w:lang w:eastAsia="en-GB"/>
        </w:rPr>
        <w:t xml:space="preserve"> Participation</w:t>
      </w:r>
    </w:p>
    <w:p w14:paraId="682D3681" w14:textId="57F2AA4A" w:rsidR="008967EA" w:rsidRDefault="005D735C" w:rsidP="005D735C">
      <w:pPr>
        <w:pStyle w:val="ListParagraph"/>
        <w:numPr>
          <w:ilvl w:val="0"/>
          <w:numId w:val="7"/>
        </w:numPr>
        <w:rPr>
          <w:lang w:eastAsia="en-GB"/>
        </w:rPr>
      </w:pPr>
      <w:r w:rsidRPr="005D735C">
        <w:rPr>
          <w:lang w:eastAsia="en-GB"/>
        </w:rPr>
        <w:t>S</w:t>
      </w:r>
      <w:r w:rsidR="00193B74" w:rsidRPr="005D735C">
        <w:rPr>
          <w:lang w:eastAsia="en-GB"/>
        </w:rPr>
        <w:t xml:space="preserve">hould </w:t>
      </w:r>
      <w:r>
        <w:rPr>
          <w:lang w:eastAsia="en-GB"/>
        </w:rPr>
        <w:t xml:space="preserve">BESSs </w:t>
      </w:r>
      <w:proofErr w:type="gramStart"/>
      <w:r>
        <w:rPr>
          <w:lang w:eastAsia="en-GB"/>
        </w:rPr>
        <w:t xml:space="preserve">be  </w:t>
      </w:r>
      <w:r w:rsidR="007E3D09">
        <w:rPr>
          <w:lang w:eastAsia="en-GB"/>
        </w:rPr>
        <w:t>actively</w:t>
      </w:r>
      <w:proofErr w:type="gramEnd"/>
      <w:r w:rsidR="007E3D09">
        <w:rPr>
          <w:lang w:eastAsia="en-GB"/>
        </w:rPr>
        <w:t xml:space="preserve"> </w:t>
      </w:r>
      <w:r>
        <w:rPr>
          <w:lang w:eastAsia="en-GB"/>
        </w:rPr>
        <w:t>participating</w:t>
      </w:r>
      <w:r w:rsidR="00193B74" w:rsidRPr="005D735C">
        <w:rPr>
          <w:lang w:eastAsia="en-GB"/>
        </w:rPr>
        <w:t xml:space="preserve"> in the Ex-ante markets</w:t>
      </w:r>
      <w:r w:rsidR="007E3D09">
        <w:rPr>
          <w:lang w:eastAsia="en-GB"/>
        </w:rPr>
        <w:t xml:space="preserve"> (doing energy arbitrage)</w:t>
      </w:r>
      <w:r w:rsidR="000823CB">
        <w:rPr>
          <w:rStyle w:val="FootnoteReference"/>
          <w:lang w:eastAsia="en-GB"/>
        </w:rPr>
        <w:footnoteReference w:id="3"/>
      </w:r>
      <w:r>
        <w:rPr>
          <w:lang w:eastAsia="en-GB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967EA" w14:paraId="72B3D920" w14:textId="77777777" w:rsidTr="00B3799F">
        <w:trPr>
          <w:trHeight w:val="1328"/>
        </w:trPr>
        <w:tc>
          <w:tcPr>
            <w:tcW w:w="5000" w:type="pct"/>
          </w:tcPr>
          <w:p w14:paraId="5A40601B" w14:textId="77777777" w:rsidR="008967EA" w:rsidRDefault="008967EA" w:rsidP="008967EA">
            <w:pPr>
              <w:rPr>
                <w:lang w:eastAsia="en-GB"/>
              </w:rPr>
            </w:pPr>
          </w:p>
        </w:tc>
      </w:tr>
    </w:tbl>
    <w:p w14:paraId="2282A39D" w14:textId="2E851AB1" w:rsidR="008967EA" w:rsidRDefault="00CE6E4A" w:rsidP="005D735C">
      <w:pPr>
        <w:pStyle w:val="ListParagraph"/>
        <w:numPr>
          <w:ilvl w:val="0"/>
          <w:numId w:val="7"/>
        </w:numPr>
        <w:rPr>
          <w:lang w:eastAsia="en-GB"/>
        </w:rPr>
      </w:pPr>
      <w:r>
        <w:rPr>
          <w:lang w:eastAsia="en-GB"/>
        </w:rPr>
        <w:t xml:space="preserve">What are the barriers </w:t>
      </w:r>
      <w:r w:rsidR="00443611">
        <w:rPr>
          <w:lang w:eastAsia="en-GB"/>
        </w:rPr>
        <w:t xml:space="preserve">(regulatory, technology, economic, etc.) </w:t>
      </w:r>
      <w:r>
        <w:rPr>
          <w:lang w:eastAsia="en-GB"/>
        </w:rPr>
        <w:t xml:space="preserve">preventing the </w:t>
      </w:r>
      <w:r w:rsidR="005D735C">
        <w:rPr>
          <w:lang w:eastAsia="en-GB"/>
        </w:rPr>
        <w:t>BESSs</w:t>
      </w:r>
      <w:r>
        <w:rPr>
          <w:lang w:eastAsia="en-GB"/>
        </w:rPr>
        <w:t xml:space="preserve"> from the provision of capacity firming for the renewables via a </w:t>
      </w:r>
      <w:r w:rsidR="007F10F7">
        <w:rPr>
          <w:lang w:eastAsia="en-GB"/>
        </w:rPr>
        <w:t>market-based</w:t>
      </w:r>
      <w:r>
        <w:rPr>
          <w:lang w:eastAsia="en-GB"/>
        </w:rPr>
        <w:t xml:space="preserve"> approach?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CE6E4A" w14:paraId="6E4811AA" w14:textId="77777777" w:rsidTr="00B3799F">
        <w:trPr>
          <w:trHeight w:val="1047"/>
        </w:trPr>
        <w:tc>
          <w:tcPr>
            <w:tcW w:w="5000" w:type="pct"/>
          </w:tcPr>
          <w:p w14:paraId="0D0E07A6" w14:textId="77777777" w:rsidR="00CE6E4A" w:rsidRDefault="00CE6E4A" w:rsidP="008967EA">
            <w:pPr>
              <w:rPr>
                <w:lang w:eastAsia="en-GB"/>
              </w:rPr>
            </w:pPr>
          </w:p>
        </w:tc>
      </w:tr>
    </w:tbl>
    <w:p w14:paraId="51F36362" w14:textId="14B6CC19" w:rsidR="007E3D09" w:rsidRPr="005B0119" w:rsidRDefault="00EC085F" w:rsidP="00EC085F">
      <w:pPr>
        <w:pStyle w:val="ListParagraph"/>
        <w:numPr>
          <w:ilvl w:val="0"/>
          <w:numId w:val="7"/>
        </w:numPr>
        <w:rPr>
          <w:lang w:eastAsia="en-GB"/>
        </w:rPr>
      </w:pPr>
      <w:r w:rsidRPr="005B0119">
        <w:rPr>
          <w:lang w:eastAsia="en-GB"/>
        </w:rPr>
        <w:t>What would be the best approach to engage the utility-size BESSs in the ex-ante markets for charging, while maintaining efficiency and</w:t>
      </w:r>
      <w:r w:rsidR="00BD3F39" w:rsidRPr="005B0119">
        <w:rPr>
          <w:lang w:eastAsia="en-GB"/>
        </w:rPr>
        <w:t xml:space="preserve"> managing the</w:t>
      </w:r>
      <w:r w:rsidRPr="005B0119">
        <w:rPr>
          <w:lang w:eastAsia="en-GB"/>
        </w:rPr>
        <w:t xml:space="preserve"> system security </w:t>
      </w:r>
      <w:proofErr w:type="gramStart"/>
      <w:r w:rsidRPr="005B0119">
        <w:rPr>
          <w:lang w:eastAsia="en-GB"/>
        </w:rPr>
        <w:t>issues</w:t>
      </w:r>
      <w:r w:rsidR="000823CB">
        <w:rPr>
          <w:lang w:eastAsia="en-GB"/>
        </w:rPr>
        <w:t xml:space="preserve"> </w:t>
      </w:r>
      <w:proofErr w:type="gramEnd"/>
      <w:r w:rsidR="000823CB">
        <w:rPr>
          <w:rStyle w:val="FootnoteReference"/>
          <w:lang w:eastAsia="en-GB"/>
        </w:rPr>
        <w:footnoteReference w:id="4"/>
      </w:r>
      <w:r w:rsidRPr="005B0119">
        <w:rPr>
          <w:lang w:eastAsia="en-GB"/>
        </w:rPr>
        <w:t xml:space="preserve">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C085F" w14:paraId="1D453726" w14:textId="77777777" w:rsidTr="00B3799F">
        <w:trPr>
          <w:trHeight w:val="1160"/>
        </w:trPr>
        <w:tc>
          <w:tcPr>
            <w:tcW w:w="5000" w:type="pct"/>
          </w:tcPr>
          <w:p w14:paraId="77629D9B" w14:textId="77777777" w:rsidR="00EC085F" w:rsidRDefault="00EC085F" w:rsidP="00EC085F">
            <w:pPr>
              <w:pStyle w:val="ListParagraph"/>
              <w:ind w:left="0"/>
              <w:rPr>
                <w:lang w:eastAsia="en-GB"/>
              </w:rPr>
            </w:pPr>
          </w:p>
        </w:tc>
      </w:tr>
    </w:tbl>
    <w:p w14:paraId="3720645C" w14:textId="264EFDB2" w:rsidR="00CE6E4A" w:rsidRDefault="00CE6E4A" w:rsidP="00D67C22">
      <w:pPr>
        <w:pStyle w:val="Heading1"/>
        <w:numPr>
          <w:ilvl w:val="0"/>
          <w:numId w:val="0"/>
        </w:numPr>
        <w:ind w:left="432" w:hanging="432"/>
        <w:rPr>
          <w:lang w:eastAsia="en-GB"/>
        </w:rPr>
      </w:pPr>
      <w:r w:rsidRPr="3DA72619">
        <w:rPr>
          <w:lang w:eastAsia="en-GB"/>
        </w:rPr>
        <w:t xml:space="preserve">Section </w:t>
      </w:r>
      <w:r>
        <w:rPr>
          <w:lang w:eastAsia="en-GB"/>
        </w:rPr>
        <w:t>4</w:t>
      </w:r>
      <w:r w:rsidRPr="3DA72619">
        <w:rPr>
          <w:lang w:eastAsia="en-GB"/>
        </w:rPr>
        <w:t xml:space="preserve">: </w:t>
      </w:r>
      <w:r w:rsidR="00D67C22">
        <w:rPr>
          <w:lang w:eastAsia="en-GB"/>
        </w:rPr>
        <w:t>Grid Services</w:t>
      </w:r>
      <w:r w:rsidR="000823CB">
        <w:rPr>
          <w:rStyle w:val="FootnoteReference"/>
          <w:lang w:eastAsia="en-GB"/>
        </w:rPr>
        <w:footnoteReference w:id="5"/>
      </w:r>
    </w:p>
    <w:p w14:paraId="00928D2F" w14:textId="5C3A1F8E" w:rsidR="002C2E0C" w:rsidRDefault="007E69B5" w:rsidP="007E69B5">
      <w:pPr>
        <w:pStyle w:val="ListParagraph"/>
        <w:numPr>
          <w:ilvl w:val="0"/>
          <w:numId w:val="9"/>
        </w:numPr>
        <w:rPr>
          <w:lang w:eastAsia="en-GB"/>
        </w:rPr>
      </w:pPr>
      <w:r>
        <w:t>C</w:t>
      </w:r>
      <w:r w:rsidR="002C2E0C">
        <w:t>ould competitive markets</w:t>
      </w:r>
      <w:r w:rsidR="007E3D09">
        <w:t>,</w:t>
      </w:r>
      <w:r w:rsidR="002C2E0C">
        <w:t xml:space="preserve"> rather </w:t>
      </w:r>
      <w:r>
        <w:t>than</w:t>
      </w:r>
      <w:r w:rsidR="002C2E0C">
        <w:t xml:space="preserve"> bilateral contracts</w:t>
      </w:r>
      <w:r>
        <w:t xml:space="preserve"> with TSOs</w:t>
      </w:r>
      <w:r w:rsidR="007E3D09">
        <w:t>,</w:t>
      </w:r>
      <w:r>
        <w:t xml:space="preserve"> </w:t>
      </w:r>
      <w:r w:rsidR="00707521">
        <w:t>be more effective (in terms of cost and security)</w:t>
      </w:r>
      <w:r>
        <w:t xml:space="preserve"> in order to provide the required system services and flexibility resources in the process of power system development toward </w:t>
      </w:r>
      <w:r w:rsidR="002C2E0C">
        <w:t>2030</w:t>
      </w:r>
      <w:r>
        <w:t xml:space="preserve"> targets?</w:t>
      </w:r>
    </w:p>
    <w:tbl>
      <w:tblPr>
        <w:tblStyle w:val="TableGrid"/>
        <w:tblW w:w="5023" w:type="pct"/>
        <w:tblLook w:val="04A0" w:firstRow="1" w:lastRow="0" w:firstColumn="1" w:lastColumn="0" w:noHBand="0" w:noVBand="1"/>
      </w:tblPr>
      <w:tblGrid>
        <w:gridCol w:w="9057"/>
      </w:tblGrid>
      <w:tr w:rsidR="00CE6E4A" w14:paraId="4CC0B193" w14:textId="77777777" w:rsidTr="00A23162">
        <w:trPr>
          <w:trHeight w:val="2296"/>
        </w:trPr>
        <w:tc>
          <w:tcPr>
            <w:tcW w:w="5000" w:type="pct"/>
          </w:tcPr>
          <w:p w14:paraId="06D5A251" w14:textId="77777777" w:rsidR="00CE6E4A" w:rsidRDefault="00CE6E4A" w:rsidP="00CE6E4A">
            <w:pPr>
              <w:pStyle w:val="ListParagraph"/>
              <w:ind w:left="0"/>
              <w:rPr>
                <w:lang w:eastAsia="en-GB"/>
              </w:rPr>
            </w:pPr>
          </w:p>
        </w:tc>
      </w:tr>
    </w:tbl>
    <w:p w14:paraId="04096BC7" w14:textId="77777777" w:rsidR="00707521" w:rsidRPr="00707521" w:rsidRDefault="00707521" w:rsidP="00462456">
      <w:pPr>
        <w:pStyle w:val="ListParagraph"/>
        <w:numPr>
          <w:ilvl w:val="0"/>
          <w:numId w:val="9"/>
        </w:numPr>
        <w:rPr>
          <w:lang w:eastAsia="en-GB"/>
        </w:rPr>
      </w:pPr>
      <w:r>
        <w:rPr>
          <w:shd w:val="clear" w:color="auto" w:fill="FFFFFF"/>
        </w:rPr>
        <w:lastRenderedPageBreak/>
        <w:t>Do we need new</w:t>
      </w:r>
      <w:r w:rsidR="00BD3F39">
        <w:rPr>
          <w:shd w:val="clear" w:color="auto" w:fill="FFFFFF"/>
        </w:rPr>
        <w:t xml:space="preserve"> services that </w:t>
      </w:r>
      <w:proofErr w:type="gramStart"/>
      <w:r w:rsidR="00BD3F39">
        <w:rPr>
          <w:shd w:val="clear" w:color="auto" w:fill="FFFFFF"/>
        </w:rPr>
        <w:t>could be delivered</w:t>
      </w:r>
      <w:proofErr w:type="gramEnd"/>
      <w:r w:rsidR="00BD3F39">
        <w:rPr>
          <w:shd w:val="clear" w:color="auto" w:fill="FFFFFF"/>
        </w:rPr>
        <w:t xml:space="preserve"> by the BESSs, especially in the charging</w:t>
      </w:r>
      <w:r>
        <w:rPr>
          <w:shd w:val="clear" w:color="auto" w:fill="FFFFFF"/>
        </w:rPr>
        <w:t>/real power import mode</w:t>
      </w:r>
      <w:r w:rsidR="00BD3F39">
        <w:rPr>
          <w:shd w:val="clear" w:color="auto" w:fill="FFFFFF"/>
        </w:rPr>
        <w:t xml:space="preserve">? </w:t>
      </w:r>
    </w:p>
    <w:p w14:paraId="2128FB13" w14:textId="0897937A" w:rsidR="00CE6E4A" w:rsidRPr="00707521" w:rsidRDefault="00707521" w:rsidP="00707521">
      <w:pPr>
        <w:pStyle w:val="ListParagraph"/>
        <w:ind w:left="0"/>
        <w:rPr>
          <w:i/>
          <w:lang w:eastAsia="en-GB"/>
        </w:rPr>
      </w:pPr>
      <w:r w:rsidRPr="00707521">
        <w:rPr>
          <w:i/>
          <w:shd w:val="clear" w:color="auto" w:fill="FFFFFF"/>
        </w:rPr>
        <w:t xml:space="preserve">N.B. </w:t>
      </w:r>
      <w:r>
        <w:rPr>
          <w:i/>
          <w:shd w:val="clear" w:color="auto" w:fill="FFFFFF"/>
        </w:rPr>
        <w:t>Current DS3 system</w:t>
      </w:r>
      <w:r w:rsidR="00BD3F39" w:rsidRPr="00707521">
        <w:rPr>
          <w:i/>
          <w:shd w:val="clear" w:color="auto" w:fill="FFFFFF"/>
        </w:rPr>
        <w:t xml:space="preserve"> services </w:t>
      </w:r>
      <w:r>
        <w:rPr>
          <w:i/>
          <w:shd w:val="clear" w:color="auto" w:fill="FFFFFF"/>
        </w:rPr>
        <w:t>to support higher levels of</w:t>
      </w:r>
      <w:r w:rsidR="00462456" w:rsidRPr="00707521">
        <w:rPr>
          <w:i/>
          <w:shd w:val="clear" w:color="auto" w:fill="FFFFFF"/>
        </w:rPr>
        <w:t xml:space="preserve"> </w:t>
      </w:r>
      <w:r w:rsidR="00BD3F39" w:rsidRPr="00707521">
        <w:rPr>
          <w:i/>
          <w:shd w:val="clear" w:color="auto" w:fill="FFFFFF"/>
        </w:rPr>
        <w:t>SNSP</w:t>
      </w:r>
      <w:r w:rsidR="00462456" w:rsidRPr="00707521">
        <w:rPr>
          <w:rStyle w:val="FootnoteReference"/>
          <w:i/>
          <w:shd w:val="clear" w:color="auto" w:fill="FFFFFF"/>
        </w:rPr>
        <w:footnoteReference w:id="6"/>
      </w:r>
      <w:r w:rsidR="00BD3F39" w:rsidRPr="00707521">
        <w:rPr>
          <w:i/>
          <w:shd w:val="clear" w:color="auto" w:fill="FFFFFF"/>
        </w:rPr>
        <w:t xml:space="preserve"> </w:t>
      </w:r>
      <w:proofErr w:type="gramStart"/>
      <w:r>
        <w:rPr>
          <w:i/>
          <w:shd w:val="clear" w:color="auto" w:fill="FFFFFF"/>
        </w:rPr>
        <w:t>are focussed</w:t>
      </w:r>
      <w:proofErr w:type="gramEnd"/>
      <w:r>
        <w:rPr>
          <w:i/>
          <w:shd w:val="clear" w:color="auto" w:fill="FFFFFF"/>
        </w:rPr>
        <w:t xml:space="preserve"> on the discharge/real power export mode of operation of providing units.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67C22" w14:paraId="2A7CC96F" w14:textId="77777777" w:rsidTr="00B3799F">
        <w:trPr>
          <w:trHeight w:val="1082"/>
        </w:trPr>
        <w:tc>
          <w:tcPr>
            <w:tcW w:w="5000" w:type="pct"/>
          </w:tcPr>
          <w:p w14:paraId="56D0FCBD" w14:textId="77777777" w:rsidR="00D67C22" w:rsidRDefault="00D67C22" w:rsidP="00D67C22">
            <w:pPr>
              <w:pStyle w:val="ListParagraph"/>
              <w:ind w:left="0"/>
              <w:rPr>
                <w:lang w:eastAsia="en-GB"/>
              </w:rPr>
            </w:pPr>
          </w:p>
        </w:tc>
      </w:tr>
    </w:tbl>
    <w:p w14:paraId="59E1DAFD" w14:textId="66FCB2CA" w:rsidR="00D67C22" w:rsidRDefault="00D67C22" w:rsidP="00513FB3">
      <w:pPr>
        <w:pStyle w:val="ListParagraph"/>
        <w:numPr>
          <w:ilvl w:val="0"/>
          <w:numId w:val="9"/>
        </w:numPr>
      </w:pPr>
      <w:r>
        <w:t>What are the barriers preventing the</w:t>
      </w:r>
      <w:r w:rsidR="00BD3F39">
        <w:t xml:space="preserve"> participation of</w:t>
      </w:r>
      <w:r>
        <w:t xml:space="preserve"> </w:t>
      </w:r>
      <w:r w:rsidR="00DD5B00">
        <w:t xml:space="preserve">residential and </w:t>
      </w:r>
      <w:r w:rsidR="00513FB3">
        <w:t xml:space="preserve">demand side </w:t>
      </w:r>
      <w:proofErr w:type="gramStart"/>
      <w:r w:rsidR="00513FB3">
        <w:t>unit’s</w:t>
      </w:r>
      <w:proofErr w:type="gramEnd"/>
      <w:r w:rsidR="00DD5B00">
        <w:t xml:space="preserve"> </w:t>
      </w:r>
      <w:r w:rsidR="007E69B5">
        <w:t>BESSs</w:t>
      </w:r>
      <w:r>
        <w:t xml:space="preserve"> in the grid services via aggregation</w:t>
      </w:r>
      <w:r w:rsidR="000823CB">
        <w:rPr>
          <w:rStyle w:val="FootnoteReference"/>
        </w:rPr>
        <w:footnoteReference w:id="7"/>
      </w:r>
      <w: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32070" w14:paraId="2F6C6926" w14:textId="77777777" w:rsidTr="00B3799F">
        <w:trPr>
          <w:trHeight w:val="1418"/>
        </w:trPr>
        <w:tc>
          <w:tcPr>
            <w:tcW w:w="5000" w:type="pct"/>
          </w:tcPr>
          <w:p w14:paraId="2A7396C9" w14:textId="77777777" w:rsidR="00932070" w:rsidRDefault="00932070" w:rsidP="00D67C22">
            <w:pPr>
              <w:pStyle w:val="ListParagraph"/>
              <w:ind w:left="0"/>
            </w:pPr>
          </w:p>
        </w:tc>
      </w:tr>
    </w:tbl>
    <w:p w14:paraId="2C51CB0F" w14:textId="4520FE46" w:rsidR="0044739D" w:rsidRDefault="00BA7E94" w:rsidP="00BD3F39">
      <w:pPr>
        <w:pStyle w:val="ListParagraph"/>
        <w:numPr>
          <w:ilvl w:val="0"/>
          <w:numId w:val="9"/>
        </w:numPr>
        <w:rPr>
          <w:lang w:eastAsia="en-GB"/>
        </w:rPr>
      </w:pPr>
      <w:r>
        <w:rPr>
          <w:lang w:eastAsia="en-GB"/>
        </w:rPr>
        <w:t xml:space="preserve">How </w:t>
      </w:r>
      <w:proofErr w:type="gramStart"/>
      <w:r>
        <w:rPr>
          <w:lang w:eastAsia="en-GB"/>
        </w:rPr>
        <w:t>should</w:t>
      </w:r>
      <w:r w:rsidR="0044739D">
        <w:rPr>
          <w:lang w:eastAsia="en-GB"/>
        </w:rPr>
        <w:t xml:space="preserve"> utility</w:t>
      </w:r>
      <w:r w:rsidR="00BD3F39">
        <w:rPr>
          <w:lang w:eastAsia="en-GB"/>
        </w:rPr>
        <w:t>-</w:t>
      </w:r>
      <w:r w:rsidR="0044739D">
        <w:rPr>
          <w:lang w:eastAsia="en-GB"/>
        </w:rPr>
        <w:t>scale BESSs</w:t>
      </w:r>
      <w:r>
        <w:rPr>
          <w:lang w:eastAsia="en-GB"/>
        </w:rPr>
        <w:t xml:space="preserve"> be</w:t>
      </w:r>
      <w:proofErr w:type="gramEnd"/>
      <w:r>
        <w:rPr>
          <w:lang w:eastAsia="en-GB"/>
        </w:rPr>
        <w:t xml:space="preserve"> used</w:t>
      </w:r>
      <w:r w:rsidR="0044739D">
        <w:rPr>
          <w:lang w:eastAsia="en-GB"/>
        </w:rPr>
        <w:t xml:space="preserve"> the provision of black</w:t>
      </w:r>
      <w:r w:rsidR="00BD3F39">
        <w:rPr>
          <w:lang w:eastAsia="en-GB"/>
        </w:rPr>
        <w:t>-</w:t>
      </w:r>
      <w:r w:rsidR="0044739D">
        <w:rPr>
          <w:lang w:eastAsia="en-GB"/>
        </w:rPr>
        <w:t>start and system restoration services</w:t>
      </w:r>
      <w:r w:rsidR="000823CB">
        <w:rPr>
          <w:rStyle w:val="FootnoteReference"/>
          <w:lang w:eastAsia="en-GB"/>
        </w:rPr>
        <w:footnoteReference w:id="8"/>
      </w:r>
      <w:r w:rsidR="0044739D">
        <w:rPr>
          <w:lang w:eastAsia="en-GB"/>
        </w:rPr>
        <w:t xml:space="preserve">?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4739D" w14:paraId="134D3862" w14:textId="77777777" w:rsidTr="00B3799F">
        <w:trPr>
          <w:trHeight w:val="1381"/>
        </w:trPr>
        <w:tc>
          <w:tcPr>
            <w:tcW w:w="5000" w:type="pct"/>
          </w:tcPr>
          <w:p w14:paraId="45A2D835" w14:textId="77777777" w:rsidR="0044739D" w:rsidRDefault="0044739D" w:rsidP="00E40461">
            <w:pPr>
              <w:pStyle w:val="ListParagraph"/>
              <w:ind w:left="0"/>
              <w:rPr>
                <w:lang w:eastAsia="en-GB"/>
              </w:rPr>
            </w:pPr>
          </w:p>
        </w:tc>
      </w:tr>
    </w:tbl>
    <w:p w14:paraId="67309957" w14:textId="77777777" w:rsidR="00A23162" w:rsidRDefault="00A23162" w:rsidP="00C10572">
      <w:pPr>
        <w:rPr>
          <w:rFonts w:eastAsia="Times New Roman"/>
          <w:b/>
          <w:color w:val="2F5496"/>
          <w:sz w:val="32"/>
          <w:szCs w:val="32"/>
          <w:lang w:eastAsia="en-GB"/>
        </w:rPr>
      </w:pPr>
    </w:p>
    <w:p w14:paraId="1103A541" w14:textId="026E9401" w:rsidR="00A53A0B" w:rsidRDefault="00A53A0B" w:rsidP="00C10572">
      <w:pPr>
        <w:rPr>
          <w:rFonts w:eastAsia="Times New Roman"/>
          <w:b/>
          <w:color w:val="2F5496"/>
          <w:sz w:val="32"/>
          <w:szCs w:val="32"/>
          <w:lang w:eastAsia="en-GB"/>
        </w:rPr>
      </w:pPr>
      <w:r w:rsidRPr="00A53A0B">
        <w:rPr>
          <w:rFonts w:eastAsia="Times New Roman"/>
          <w:b/>
          <w:color w:val="2F5496"/>
          <w:sz w:val="32"/>
          <w:szCs w:val="32"/>
          <w:lang w:eastAsia="en-GB"/>
        </w:rPr>
        <w:t>Section 5</w:t>
      </w:r>
      <w:r>
        <w:rPr>
          <w:rFonts w:eastAsia="Times New Roman"/>
          <w:b/>
          <w:color w:val="2F5496"/>
          <w:sz w:val="32"/>
          <w:szCs w:val="32"/>
          <w:lang w:eastAsia="en-GB"/>
        </w:rPr>
        <w:t xml:space="preserve">. Energy Storage Mix </w:t>
      </w:r>
    </w:p>
    <w:p w14:paraId="76B1036B" w14:textId="191D8445" w:rsidR="008967EA" w:rsidRDefault="00840BE5" w:rsidP="000631F3">
      <w:pPr>
        <w:pStyle w:val="ListParagraph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t xml:space="preserve">Should there be a definition of long duration energy storage? Why? </w:t>
      </w:r>
      <w:r w:rsidR="005A4F23">
        <w:rPr>
          <w:lang w:eastAsia="en-GB"/>
        </w:rPr>
        <w:t>Wha</w:t>
      </w:r>
      <w:r w:rsidR="00BD3F39">
        <w:rPr>
          <w:lang w:eastAsia="en-GB"/>
        </w:rPr>
        <w:t xml:space="preserve">t </w:t>
      </w:r>
      <w:r>
        <w:rPr>
          <w:lang w:eastAsia="en-GB"/>
        </w:rPr>
        <w:t>should this be</w:t>
      </w:r>
      <w:r w:rsidR="005A4F23">
        <w:rPr>
          <w:lang w:eastAsia="en-GB"/>
        </w:rPr>
        <w:t xml:space="preserve"> </w:t>
      </w:r>
      <w:r w:rsidR="000631F3">
        <w:rPr>
          <w:lang w:eastAsia="en-GB"/>
        </w:rPr>
        <w:t xml:space="preserve">while considering </w:t>
      </w:r>
      <w:r w:rsidR="004F3154">
        <w:rPr>
          <w:lang w:eastAsia="en-GB"/>
        </w:rPr>
        <w:t>the</w:t>
      </w:r>
      <w:r w:rsidR="005A4F23">
        <w:rPr>
          <w:lang w:eastAsia="en-GB"/>
        </w:rPr>
        <w:t xml:space="preserve"> power system requirements </w:t>
      </w:r>
      <w:r>
        <w:rPr>
          <w:lang w:eastAsia="en-GB"/>
        </w:rPr>
        <w:t>for</w:t>
      </w:r>
      <w:r w:rsidR="005A4F23">
        <w:rPr>
          <w:lang w:eastAsia="en-GB"/>
        </w:rPr>
        <w:t xml:space="preserve"> 2030 and </w:t>
      </w:r>
      <w:proofErr w:type="gramStart"/>
      <w:r w:rsidR="005A4F23">
        <w:rPr>
          <w:lang w:eastAsia="en-GB"/>
        </w:rPr>
        <w:t>beyond</w:t>
      </w:r>
      <w:proofErr w:type="gramEnd"/>
      <w:r w:rsidR="00515894">
        <w:rPr>
          <w:rStyle w:val="FootnoteReference"/>
          <w:lang w:eastAsia="en-GB"/>
        </w:rPr>
        <w:footnoteReference w:id="9"/>
      </w:r>
      <w:r w:rsidR="005A4F23">
        <w:rPr>
          <w:lang w:eastAsia="en-GB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5A4F23" w14:paraId="2ACDEF5B" w14:textId="77777777" w:rsidTr="00B3799F">
        <w:trPr>
          <w:trHeight w:val="1115"/>
        </w:trPr>
        <w:tc>
          <w:tcPr>
            <w:tcW w:w="5000" w:type="pct"/>
          </w:tcPr>
          <w:p w14:paraId="3A8C1351" w14:textId="77777777" w:rsidR="005A4F23" w:rsidRDefault="005A4F23" w:rsidP="005A4F23">
            <w:pPr>
              <w:rPr>
                <w:lang w:eastAsia="en-GB"/>
              </w:rPr>
            </w:pPr>
          </w:p>
        </w:tc>
      </w:tr>
    </w:tbl>
    <w:p w14:paraId="6862FF2B" w14:textId="02D3E908" w:rsidR="005A4F23" w:rsidRDefault="00840BE5" w:rsidP="00BD3F39">
      <w:pPr>
        <w:pStyle w:val="ListParagraph"/>
        <w:numPr>
          <w:ilvl w:val="0"/>
          <w:numId w:val="13"/>
        </w:numPr>
        <w:rPr>
          <w:lang w:eastAsia="en-GB"/>
        </w:rPr>
      </w:pPr>
      <w:r>
        <w:lastRenderedPageBreak/>
        <w:t xml:space="preserve">Should Ireland develop a policy regarding the development of long-duration low </w:t>
      </w:r>
      <w:proofErr w:type="gramStart"/>
      <w:r>
        <w:t>carbon energy storage resources</w:t>
      </w:r>
      <w:proofErr w:type="gramEnd"/>
      <w:r w:rsidR="00515894">
        <w:rPr>
          <w:rStyle w:val="FootnoteReference"/>
        </w:rPr>
        <w:footnoteReference w:id="10"/>
      </w:r>
      <w:r w:rsidR="00BD3F39"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5A4F23" w14:paraId="642096B9" w14:textId="77777777" w:rsidTr="00B3799F">
        <w:trPr>
          <w:trHeight w:val="1113"/>
        </w:trPr>
        <w:tc>
          <w:tcPr>
            <w:tcW w:w="5000" w:type="pct"/>
          </w:tcPr>
          <w:p w14:paraId="59FD43D8" w14:textId="77777777" w:rsidR="005A4F23" w:rsidRDefault="005A4F23" w:rsidP="005A4F23">
            <w:pPr>
              <w:rPr>
                <w:lang w:eastAsia="en-GB"/>
              </w:rPr>
            </w:pPr>
          </w:p>
        </w:tc>
      </w:tr>
    </w:tbl>
    <w:p w14:paraId="71E31084" w14:textId="2D77CAF3" w:rsidR="005A4F23" w:rsidRDefault="00291978" w:rsidP="00D81BC5">
      <w:pPr>
        <w:pStyle w:val="ListParagraph"/>
        <w:numPr>
          <w:ilvl w:val="0"/>
          <w:numId w:val="13"/>
        </w:numPr>
        <w:rPr>
          <w:lang w:eastAsia="en-GB"/>
        </w:rPr>
      </w:pPr>
      <w:proofErr w:type="gramStart"/>
      <w:r>
        <w:rPr>
          <w:lang w:eastAsia="en-GB"/>
        </w:rPr>
        <w:t>Should Flow and NaS batteries be considered</w:t>
      </w:r>
      <w:proofErr w:type="gramEnd"/>
      <w:r>
        <w:rPr>
          <w:lang w:eastAsia="en-GB"/>
        </w:rPr>
        <w:t xml:space="preserve"> </w:t>
      </w:r>
      <w:r w:rsidR="0043392F">
        <w:rPr>
          <w:lang w:eastAsia="en-GB"/>
        </w:rPr>
        <w:t>to meet Ireland’s long-</w:t>
      </w:r>
      <w:r w:rsidR="00FC5914">
        <w:rPr>
          <w:lang w:eastAsia="en-GB"/>
        </w:rPr>
        <w:t xml:space="preserve">duration energy storage </w:t>
      </w:r>
      <w:r w:rsidR="00231275">
        <w:rPr>
          <w:lang w:eastAsia="en-GB"/>
        </w:rPr>
        <w:t>needs</w:t>
      </w:r>
      <w:r w:rsidR="00515894">
        <w:rPr>
          <w:rStyle w:val="FootnoteReference"/>
          <w:lang w:eastAsia="en-GB"/>
        </w:rPr>
        <w:footnoteReference w:id="11"/>
      </w:r>
      <w:r w:rsidR="00FC5914">
        <w:rPr>
          <w:lang w:eastAsia="en-GB"/>
        </w:rPr>
        <w:t xml:space="preserve">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C5914" w14:paraId="241AF7C9" w14:textId="77777777" w:rsidTr="00B3799F">
        <w:trPr>
          <w:trHeight w:val="1013"/>
        </w:trPr>
        <w:tc>
          <w:tcPr>
            <w:tcW w:w="5000" w:type="pct"/>
          </w:tcPr>
          <w:p w14:paraId="46D9944C" w14:textId="77777777" w:rsidR="00FC5914" w:rsidRDefault="00FC5914" w:rsidP="00FC5914">
            <w:pPr>
              <w:rPr>
                <w:lang w:eastAsia="en-GB"/>
              </w:rPr>
            </w:pPr>
          </w:p>
        </w:tc>
      </w:tr>
    </w:tbl>
    <w:p w14:paraId="0EE3ED8E" w14:textId="7902BAEE" w:rsidR="00FF7BAD" w:rsidRDefault="00840BE5" w:rsidP="00FF7BAD">
      <w:pPr>
        <w:pStyle w:val="ListParagraph"/>
        <w:numPr>
          <w:ilvl w:val="0"/>
          <w:numId w:val="13"/>
        </w:numPr>
        <w:rPr>
          <w:lang w:eastAsia="en-GB"/>
        </w:rPr>
      </w:pPr>
      <w:r>
        <w:rPr>
          <w:shd w:val="clear" w:color="auto" w:fill="FFFFFF"/>
        </w:rPr>
        <w:t>Could</w:t>
      </w:r>
      <w:r w:rsidR="00231275">
        <w:rPr>
          <w:shd w:val="clear" w:color="auto" w:fill="FFFFFF"/>
        </w:rPr>
        <w:t xml:space="preserve"> </w:t>
      </w:r>
      <w:r w:rsidR="0043392F">
        <w:rPr>
          <w:shd w:val="clear" w:color="auto" w:fill="FFFFFF"/>
        </w:rPr>
        <w:t xml:space="preserve">the aggregation of BESSs </w:t>
      </w:r>
      <w:r w:rsidR="00231275">
        <w:rPr>
          <w:shd w:val="clear" w:color="auto" w:fill="FFFFFF"/>
        </w:rPr>
        <w:t xml:space="preserve">contribute </w:t>
      </w:r>
      <w:r w:rsidR="0043392F">
        <w:rPr>
          <w:shd w:val="clear" w:color="auto" w:fill="FFFFFF"/>
        </w:rPr>
        <w:t xml:space="preserve">to meet long-duration energy storage requirements </w:t>
      </w:r>
      <w:r w:rsidR="00231275">
        <w:rPr>
          <w:shd w:val="clear" w:color="auto" w:fill="FFFFFF"/>
        </w:rPr>
        <w:t xml:space="preserve">in Ireland </w:t>
      </w:r>
      <w:r w:rsidR="0043392F">
        <w:rPr>
          <w:shd w:val="clear" w:color="auto" w:fill="FFFFFF"/>
        </w:rPr>
        <w:t>by 2030 and beyond? If yes, to which extent</w:t>
      </w:r>
      <w:r w:rsidR="00515894">
        <w:rPr>
          <w:rStyle w:val="FootnoteReference"/>
          <w:shd w:val="clear" w:color="auto" w:fill="FFFFFF"/>
        </w:rPr>
        <w:footnoteReference w:id="12"/>
      </w:r>
      <w:r w:rsidR="0043392F">
        <w:rPr>
          <w:shd w:val="clear" w:color="auto" w:fill="FFFFFF"/>
        </w:rPr>
        <w:t>? 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F7BAD" w14:paraId="2AAF97F3" w14:textId="77777777" w:rsidTr="00B3799F">
        <w:trPr>
          <w:trHeight w:val="1837"/>
        </w:trPr>
        <w:tc>
          <w:tcPr>
            <w:tcW w:w="5000" w:type="pct"/>
          </w:tcPr>
          <w:p w14:paraId="6CF268E9" w14:textId="77777777" w:rsidR="00FF7BAD" w:rsidRDefault="00FF7BAD" w:rsidP="00FF7BAD">
            <w:pPr>
              <w:pStyle w:val="ListParagraph"/>
              <w:ind w:left="0"/>
              <w:rPr>
                <w:lang w:eastAsia="en-GB"/>
              </w:rPr>
            </w:pPr>
          </w:p>
        </w:tc>
      </w:tr>
    </w:tbl>
    <w:p w14:paraId="5D707B3F" w14:textId="77777777" w:rsidR="00A23162" w:rsidRDefault="00A23162" w:rsidP="00DE3739">
      <w:pPr>
        <w:rPr>
          <w:rFonts w:eastAsia="Times New Roman"/>
          <w:b/>
          <w:color w:val="2F5496"/>
          <w:sz w:val="32"/>
          <w:szCs w:val="32"/>
          <w:lang w:eastAsia="en-GB"/>
        </w:rPr>
      </w:pPr>
    </w:p>
    <w:p w14:paraId="783B2006" w14:textId="4E779A8A" w:rsidR="00DE3739" w:rsidRDefault="00DE3739" w:rsidP="00DE3739">
      <w:pPr>
        <w:rPr>
          <w:rFonts w:eastAsia="Times New Roman"/>
          <w:b/>
          <w:color w:val="2F5496"/>
          <w:sz w:val="32"/>
          <w:szCs w:val="32"/>
          <w:lang w:eastAsia="en-GB"/>
        </w:rPr>
      </w:pPr>
      <w:r w:rsidRPr="00A53A0B">
        <w:rPr>
          <w:rFonts w:eastAsia="Times New Roman"/>
          <w:b/>
          <w:color w:val="2F5496"/>
          <w:sz w:val="32"/>
          <w:szCs w:val="32"/>
          <w:lang w:eastAsia="en-GB"/>
        </w:rPr>
        <w:t xml:space="preserve">Section </w:t>
      </w:r>
      <w:r>
        <w:rPr>
          <w:rFonts w:eastAsia="Times New Roman"/>
          <w:b/>
          <w:color w:val="2F5496"/>
          <w:sz w:val="32"/>
          <w:szCs w:val="32"/>
          <w:lang w:eastAsia="en-GB"/>
        </w:rPr>
        <w:t>6. The Key Actors &amp; Stakeholders</w:t>
      </w:r>
    </w:p>
    <w:p w14:paraId="1FEBC7E1" w14:textId="62E9E714" w:rsidR="00FF7BAD" w:rsidRDefault="00F8761D" w:rsidP="00073CA1">
      <w:pPr>
        <w:pStyle w:val="ListParagraph"/>
        <w:numPr>
          <w:ilvl w:val="0"/>
          <w:numId w:val="15"/>
        </w:numPr>
        <w:rPr>
          <w:lang w:eastAsia="en-GB"/>
        </w:rPr>
      </w:pPr>
      <w:r>
        <w:rPr>
          <w:lang w:eastAsia="en-GB"/>
        </w:rPr>
        <w:t xml:space="preserve">Who </w:t>
      </w:r>
      <w:r w:rsidR="00DE3739">
        <w:rPr>
          <w:lang w:eastAsia="en-GB"/>
        </w:rPr>
        <w:t>are the key stakeholders of BESSs in Ireland</w:t>
      </w:r>
      <w:r w:rsidR="00BE412D">
        <w:rPr>
          <w:lang w:eastAsia="en-GB"/>
        </w:rPr>
        <w:t xml:space="preserve"> </w:t>
      </w:r>
      <w:r w:rsidR="00DE3739">
        <w:rPr>
          <w:lang w:eastAsia="en-GB"/>
        </w:rPr>
        <w:t>and how they can play an effective role in the development of BESSs</w:t>
      </w:r>
      <w:r w:rsidR="00515894">
        <w:rPr>
          <w:lang w:eastAsia="en-GB"/>
        </w:rPr>
        <w:t xml:space="preserve"> (other than </w:t>
      </w:r>
      <w:proofErr w:type="gramStart"/>
      <w:r w:rsidR="00515894">
        <w:rPr>
          <w:lang w:eastAsia="en-GB"/>
        </w:rPr>
        <w:t>those which</w:t>
      </w:r>
      <w:proofErr w:type="gramEnd"/>
      <w:r w:rsidR="00515894">
        <w:rPr>
          <w:lang w:eastAsia="en-GB"/>
        </w:rPr>
        <w:t xml:space="preserve"> are mentioned in the report)</w:t>
      </w:r>
      <w:r w:rsidR="00515894">
        <w:rPr>
          <w:rStyle w:val="FootnoteReference"/>
          <w:lang w:eastAsia="en-GB"/>
        </w:rPr>
        <w:footnoteReference w:id="13"/>
      </w:r>
      <w:r w:rsidR="00DE3739">
        <w:rPr>
          <w:lang w:eastAsia="en-GB"/>
        </w:rPr>
        <w:t xml:space="preserve">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E3739" w14:paraId="7CCD7086" w14:textId="77777777" w:rsidTr="00B3799F">
        <w:trPr>
          <w:trHeight w:val="1322"/>
        </w:trPr>
        <w:tc>
          <w:tcPr>
            <w:tcW w:w="5000" w:type="pct"/>
          </w:tcPr>
          <w:p w14:paraId="55B0DAF9" w14:textId="77777777" w:rsidR="00DE3739" w:rsidRDefault="00DE3739" w:rsidP="00DE3739">
            <w:pPr>
              <w:rPr>
                <w:lang w:eastAsia="en-GB"/>
              </w:rPr>
            </w:pPr>
          </w:p>
        </w:tc>
      </w:tr>
    </w:tbl>
    <w:p w14:paraId="3E0248FA" w14:textId="225B448E" w:rsidR="00DE3739" w:rsidRDefault="00840BE5" w:rsidP="00224115">
      <w:pPr>
        <w:pStyle w:val="ListParagraph"/>
        <w:numPr>
          <w:ilvl w:val="0"/>
          <w:numId w:val="15"/>
        </w:numPr>
        <w:rPr>
          <w:lang w:eastAsia="en-GB"/>
        </w:rPr>
      </w:pPr>
      <w:r>
        <w:rPr>
          <w:lang w:eastAsia="en-GB"/>
        </w:rPr>
        <w:lastRenderedPageBreak/>
        <w:t>Should</w:t>
      </w:r>
      <w:r w:rsidR="00196252">
        <w:rPr>
          <w:lang w:eastAsia="en-GB"/>
        </w:rPr>
        <w:t xml:space="preserve"> </w:t>
      </w:r>
      <w:r w:rsidR="00DE3739">
        <w:rPr>
          <w:lang w:eastAsia="en-GB"/>
        </w:rPr>
        <w:t xml:space="preserve">Ireland play an active role to meet the </w:t>
      </w:r>
      <w:r w:rsidR="00617317">
        <w:rPr>
          <w:lang w:eastAsia="en-GB"/>
        </w:rPr>
        <w:t xml:space="preserve">National and </w:t>
      </w:r>
      <w:r w:rsidR="00DE3739">
        <w:rPr>
          <w:lang w:eastAsia="en-GB"/>
        </w:rPr>
        <w:t>European targets for manufacturing BESS technologies</w:t>
      </w:r>
      <w:r w:rsidR="00196252">
        <w:rPr>
          <w:lang w:eastAsia="en-GB"/>
        </w:rPr>
        <w:t xml:space="preserve"> such as</w:t>
      </w:r>
      <w:r w:rsidR="00BE412D">
        <w:rPr>
          <w:lang w:eastAsia="en-GB"/>
        </w:rPr>
        <w:t xml:space="preserve"> flow batteries, NaS batteries, </w:t>
      </w:r>
      <w:r w:rsidR="00F8761D">
        <w:rPr>
          <w:lang w:eastAsia="en-GB"/>
        </w:rPr>
        <w:t>and others</w:t>
      </w:r>
      <w:r w:rsidR="00DE3739">
        <w:rPr>
          <w:lang w:eastAsia="en-GB"/>
        </w:rPr>
        <w:t>?</w:t>
      </w:r>
      <w:r>
        <w:rPr>
          <w:lang w:eastAsia="en-GB"/>
        </w:rPr>
        <w:t xml:space="preserve"> How </w:t>
      </w:r>
      <w:proofErr w:type="gramStart"/>
      <w:r>
        <w:rPr>
          <w:lang w:eastAsia="en-GB"/>
        </w:rPr>
        <w:t>could this be achieved</w:t>
      </w:r>
      <w:proofErr w:type="gramEnd"/>
      <w:r>
        <w:rPr>
          <w:lang w:eastAsia="en-GB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E3739" w14:paraId="363B04FD" w14:textId="77777777" w:rsidTr="00B3799F">
        <w:trPr>
          <w:trHeight w:val="1395"/>
        </w:trPr>
        <w:tc>
          <w:tcPr>
            <w:tcW w:w="5000" w:type="pct"/>
          </w:tcPr>
          <w:p w14:paraId="729E193C" w14:textId="77777777" w:rsidR="00DE3739" w:rsidRDefault="00DE3739" w:rsidP="00DE3739">
            <w:pPr>
              <w:rPr>
                <w:lang w:eastAsia="en-GB"/>
              </w:rPr>
            </w:pPr>
          </w:p>
        </w:tc>
      </w:tr>
    </w:tbl>
    <w:p w14:paraId="1D229BFF" w14:textId="6AA01E6B" w:rsidR="00DE3739" w:rsidRDefault="00775696" w:rsidP="002B3D2A">
      <w:pPr>
        <w:pStyle w:val="ListParagraph"/>
        <w:numPr>
          <w:ilvl w:val="0"/>
          <w:numId w:val="15"/>
        </w:numPr>
        <w:rPr>
          <w:lang w:eastAsia="en-GB"/>
        </w:rPr>
      </w:pPr>
      <w:r>
        <w:rPr>
          <w:lang w:eastAsia="en-GB"/>
        </w:rPr>
        <w:t>What</w:t>
      </w:r>
      <w:r w:rsidR="00DE3739">
        <w:rPr>
          <w:lang w:eastAsia="en-GB"/>
        </w:rPr>
        <w:t xml:space="preserve"> research and innovation activities </w:t>
      </w:r>
      <w:r>
        <w:rPr>
          <w:lang w:eastAsia="en-GB"/>
        </w:rPr>
        <w:t xml:space="preserve">should </w:t>
      </w:r>
      <w:r w:rsidR="00DE3739">
        <w:rPr>
          <w:lang w:eastAsia="en-GB"/>
        </w:rPr>
        <w:t xml:space="preserve">Ireland </w:t>
      </w:r>
      <w:r>
        <w:rPr>
          <w:lang w:eastAsia="en-GB"/>
        </w:rPr>
        <w:t>engage in to support the</w:t>
      </w:r>
      <w:r w:rsidR="00DE3739">
        <w:rPr>
          <w:lang w:eastAsia="en-GB"/>
        </w:rPr>
        <w:t xml:space="preserve"> develop</w:t>
      </w:r>
      <w:r w:rsidR="00617317">
        <w:rPr>
          <w:lang w:eastAsia="en-GB"/>
        </w:rPr>
        <w:t>ment</w:t>
      </w:r>
      <w:r w:rsidR="00DE3739">
        <w:rPr>
          <w:lang w:eastAsia="en-GB"/>
        </w:rPr>
        <w:t>, manufacture</w:t>
      </w:r>
      <w:r w:rsidR="0043392F">
        <w:rPr>
          <w:lang w:eastAsia="en-GB"/>
        </w:rPr>
        <w:t>, and improve</w:t>
      </w:r>
      <w:r w:rsidR="00617317">
        <w:rPr>
          <w:lang w:eastAsia="en-GB"/>
        </w:rPr>
        <w:t>ment</w:t>
      </w:r>
      <w:r w:rsidR="0043392F">
        <w:rPr>
          <w:lang w:eastAsia="en-GB"/>
        </w:rPr>
        <w:t xml:space="preserve"> </w:t>
      </w:r>
      <w:r w:rsidR="00617317">
        <w:rPr>
          <w:lang w:eastAsia="en-GB"/>
        </w:rPr>
        <w:t xml:space="preserve">of </w:t>
      </w:r>
      <w:r w:rsidR="0043392F">
        <w:rPr>
          <w:lang w:eastAsia="en-GB"/>
        </w:rPr>
        <w:t>the long-</w:t>
      </w:r>
      <w:r w:rsidR="00DE3739">
        <w:rPr>
          <w:lang w:eastAsia="en-GB"/>
        </w:rPr>
        <w:t>duration BESS</w:t>
      </w:r>
      <w:r w:rsidR="00617317">
        <w:rPr>
          <w:lang w:eastAsia="en-GB"/>
        </w:rPr>
        <w:t xml:space="preserve"> technologies</w:t>
      </w:r>
      <w:r w:rsidR="00DE3739">
        <w:rPr>
          <w:lang w:eastAsia="en-GB"/>
        </w:rPr>
        <w:t xml:space="preserve"> </w:t>
      </w:r>
      <w:r w:rsidR="00196252">
        <w:rPr>
          <w:lang w:eastAsia="en-GB"/>
        </w:rPr>
        <w:t>to meet</w:t>
      </w:r>
      <w:r w:rsidR="00DE3739">
        <w:rPr>
          <w:lang w:eastAsia="en-GB"/>
        </w:rPr>
        <w:t xml:space="preserve"> </w:t>
      </w:r>
      <w:r w:rsidR="00196252">
        <w:rPr>
          <w:lang w:eastAsia="en-GB"/>
        </w:rPr>
        <w:t xml:space="preserve">the future </w:t>
      </w:r>
      <w:r w:rsidR="00DE3739">
        <w:rPr>
          <w:lang w:eastAsia="en-GB"/>
        </w:rPr>
        <w:t>power system</w:t>
      </w:r>
      <w:r w:rsidR="00196252">
        <w:rPr>
          <w:lang w:eastAsia="en-GB"/>
        </w:rPr>
        <w:t>’s</w:t>
      </w:r>
      <w:r w:rsidR="00DE3739">
        <w:rPr>
          <w:lang w:eastAsia="en-GB"/>
        </w:rPr>
        <w:t xml:space="preserve"> requirements?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E3739" w14:paraId="3746FA0B" w14:textId="77777777" w:rsidTr="00B3799F">
        <w:trPr>
          <w:trHeight w:val="1476"/>
        </w:trPr>
        <w:tc>
          <w:tcPr>
            <w:tcW w:w="5000" w:type="pct"/>
          </w:tcPr>
          <w:p w14:paraId="7D1F5D30" w14:textId="77777777" w:rsidR="00DE3739" w:rsidRDefault="00DE3739" w:rsidP="00DE3739">
            <w:pPr>
              <w:rPr>
                <w:lang w:eastAsia="en-GB"/>
              </w:rPr>
            </w:pPr>
          </w:p>
        </w:tc>
      </w:tr>
    </w:tbl>
    <w:p w14:paraId="5852BBBF" w14:textId="32D33330" w:rsidR="004B2F57" w:rsidRDefault="004B2F57" w:rsidP="004B2F57">
      <w:pPr>
        <w:pStyle w:val="ListParagraph"/>
        <w:numPr>
          <w:ilvl w:val="0"/>
          <w:numId w:val="15"/>
        </w:numPr>
        <w:rPr>
          <w:lang w:eastAsia="en-GB"/>
        </w:rPr>
      </w:pPr>
      <w:r>
        <w:rPr>
          <w:lang w:eastAsia="en-GB"/>
        </w:rPr>
        <w:t xml:space="preserve">Are there </w:t>
      </w:r>
      <w:proofErr w:type="spellStart"/>
      <w:r>
        <w:rPr>
          <w:lang w:eastAsia="en-GB"/>
        </w:rPr>
        <w:t>enouph</w:t>
      </w:r>
      <w:proofErr w:type="spellEnd"/>
      <w:r>
        <w:rPr>
          <w:lang w:eastAsia="en-GB"/>
        </w:rPr>
        <w:t xml:space="preserve"> skilled workers/specialists or recruitment in Ireland to manage </w:t>
      </w:r>
      <w:proofErr w:type="gramStart"/>
      <w:r>
        <w:rPr>
          <w:lang w:eastAsia="en-GB"/>
        </w:rPr>
        <w:t>the  increasing</w:t>
      </w:r>
      <w:proofErr w:type="gramEnd"/>
      <w:r>
        <w:rPr>
          <w:lang w:eastAsia="en-GB"/>
        </w:rPr>
        <w:t xml:space="preserve"> demand for deploying BESSs 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B2F57" w14:paraId="45F9509E" w14:textId="77777777" w:rsidTr="004B2F57">
        <w:trPr>
          <w:trHeight w:val="1694"/>
        </w:trPr>
        <w:tc>
          <w:tcPr>
            <w:tcW w:w="5000" w:type="pct"/>
          </w:tcPr>
          <w:p w14:paraId="6729B45D" w14:textId="77777777" w:rsidR="004B2F57" w:rsidRDefault="004B2F57" w:rsidP="005F4525">
            <w:pPr>
              <w:rPr>
                <w:rFonts w:eastAsia="Times New Roman"/>
                <w:b/>
                <w:color w:val="2F5496"/>
                <w:sz w:val="32"/>
                <w:szCs w:val="32"/>
                <w:lang w:eastAsia="en-GB"/>
              </w:rPr>
            </w:pPr>
          </w:p>
        </w:tc>
      </w:tr>
    </w:tbl>
    <w:p w14:paraId="45D601EC" w14:textId="493A6E44" w:rsidR="002D1DC0" w:rsidRDefault="002D1DC0" w:rsidP="005F4525">
      <w:pPr>
        <w:rPr>
          <w:rFonts w:eastAsia="Times New Roman"/>
          <w:b/>
          <w:color w:val="2F5496"/>
          <w:sz w:val="32"/>
          <w:szCs w:val="32"/>
          <w:lang w:eastAsia="en-GB"/>
        </w:rPr>
      </w:pPr>
      <w:r w:rsidRPr="00A53A0B">
        <w:rPr>
          <w:rFonts w:eastAsia="Times New Roman"/>
          <w:b/>
          <w:color w:val="2F5496"/>
          <w:sz w:val="32"/>
          <w:szCs w:val="32"/>
          <w:lang w:eastAsia="en-GB"/>
        </w:rPr>
        <w:t xml:space="preserve">Section </w:t>
      </w:r>
      <w:r>
        <w:rPr>
          <w:rFonts w:eastAsia="Times New Roman"/>
          <w:b/>
          <w:color w:val="2F5496"/>
          <w:sz w:val="32"/>
          <w:szCs w:val="32"/>
          <w:lang w:eastAsia="en-GB"/>
        </w:rPr>
        <w:t xml:space="preserve">7. </w:t>
      </w:r>
      <w:r w:rsidR="005F4525">
        <w:rPr>
          <w:rFonts w:eastAsia="Times New Roman"/>
          <w:b/>
          <w:color w:val="2F5496"/>
          <w:sz w:val="32"/>
          <w:szCs w:val="32"/>
          <w:lang w:eastAsia="en-GB"/>
        </w:rPr>
        <w:t xml:space="preserve">Grid connection/costs, Investment Incentives, </w:t>
      </w:r>
    </w:p>
    <w:p w14:paraId="0CE6AA4B" w14:textId="1279B0E6" w:rsidR="0024200E" w:rsidRDefault="00775696" w:rsidP="008A4D14">
      <w:pPr>
        <w:pStyle w:val="ListParagraph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>What role should BESS take in decarbonising d</w:t>
      </w:r>
      <w:r w:rsidR="008A4D14">
        <w:t xml:space="preserve">ata centres </w:t>
      </w:r>
      <w:r>
        <w:t xml:space="preserve">connected to the Irish power </w:t>
      </w:r>
      <w:proofErr w:type="gramStart"/>
      <w:r>
        <w:t>system</w:t>
      </w:r>
      <w:r w:rsidR="00F95B12">
        <w:t xml:space="preserve"> </w:t>
      </w:r>
      <w:r w:rsidR="00F95B12">
        <w:rPr>
          <w:rStyle w:val="FootnoteReference"/>
        </w:rPr>
        <w:footnoteReference w:id="14"/>
      </w:r>
      <w:proofErr w:type="gramEnd"/>
      <w:r w:rsidR="00F95B12">
        <w:t xml:space="preserve"> </w:t>
      </w:r>
      <w:r w:rsidR="0024200E">
        <w:rPr>
          <w:lang w:eastAsia="en-GB"/>
        </w:rPr>
        <w:t xml:space="preserve">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24200E" w14:paraId="1B351248" w14:textId="77777777" w:rsidTr="00B3799F">
        <w:trPr>
          <w:trHeight w:val="1707"/>
        </w:trPr>
        <w:tc>
          <w:tcPr>
            <w:tcW w:w="5000" w:type="pct"/>
          </w:tcPr>
          <w:p w14:paraId="0E42293F" w14:textId="77777777" w:rsidR="0024200E" w:rsidRDefault="0024200E" w:rsidP="0024200E">
            <w:pPr>
              <w:pStyle w:val="ListParagraph"/>
              <w:ind w:left="0"/>
              <w:rPr>
                <w:lang w:eastAsia="en-GB"/>
              </w:rPr>
            </w:pPr>
          </w:p>
        </w:tc>
      </w:tr>
    </w:tbl>
    <w:p w14:paraId="387CDBD8" w14:textId="011AB38A" w:rsidR="00EC085F" w:rsidRDefault="00EC085F" w:rsidP="00EC085F">
      <w:pPr>
        <w:pStyle w:val="ListParagraph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lastRenderedPageBreak/>
        <w:t>D</w:t>
      </w:r>
      <w:r w:rsidR="00286EE8">
        <w:rPr>
          <w:lang w:eastAsia="en-GB"/>
        </w:rPr>
        <w:t>o</w:t>
      </w:r>
      <w:r>
        <w:rPr>
          <w:lang w:eastAsia="en-GB"/>
        </w:rPr>
        <w:t xml:space="preserve"> the size requirements for aggregation impose </w:t>
      </w:r>
      <w:r w:rsidR="00286EE8">
        <w:rPr>
          <w:lang w:eastAsia="en-GB"/>
        </w:rPr>
        <w:t xml:space="preserve">a </w:t>
      </w:r>
      <w:r>
        <w:rPr>
          <w:lang w:eastAsia="en-GB"/>
        </w:rPr>
        <w:t xml:space="preserve">barrier for the deployment of BESSs </w:t>
      </w:r>
      <w:r w:rsidR="00286EE8">
        <w:rPr>
          <w:lang w:eastAsia="en-GB"/>
        </w:rPr>
        <w:t xml:space="preserve">for </w:t>
      </w:r>
      <w:r>
        <w:rPr>
          <w:lang w:eastAsia="en-GB"/>
        </w:rPr>
        <w:t>the provision of grid services?</w:t>
      </w:r>
      <w:r w:rsidR="00286EE8">
        <w:rPr>
          <w:lang w:eastAsia="en-GB"/>
        </w:rPr>
        <w:t xml:space="preserve"> How can the policy </w:t>
      </w:r>
      <w:r w:rsidR="00FF4E72">
        <w:rPr>
          <w:lang w:eastAsia="en-GB"/>
        </w:rPr>
        <w:t xml:space="preserve">help the regulatory authority to </w:t>
      </w:r>
      <w:r w:rsidR="00286EE8">
        <w:rPr>
          <w:lang w:eastAsia="en-GB"/>
        </w:rPr>
        <w:t xml:space="preserve">remove such a </w:t>
      </w:r>
      <w:proofErr w:type="gramStart"/>
      <w:r w:rsidR="00286EE8">
        <w:rPr>
          <w:lang w:eastAsia="en-GB"/>
        </w:rPr>
        <w:t>barrier</w:t>
      </w:r>
      <w:r w:rsidR="00F95B12">
        <w:rPr>
          <w:lang w:eastAsia="en-GB"/>
        </w:rPr>
        <w:t xml:space="preserve"> </w:t>
      </w:r>
      <w:proofErr w:type="gramEnd"/>
      <w:r w:rsidR="00F95B12">
        <w:rPr>
          <w:rStyle w:val="FootnoteReference"/>
          <w:lang w:eastAsia="en-GB"/>
        </w:rPr>
        <w:footnoteReference w:id="15"/>
      </w:r>
      <w:r w:rsidR="00286EE8">
        <w:rPr>
          <w:lang w:eastAsia="en-GB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C085F" w14:paraId="1AE3B206" w14:textId="77777777" w:rsidTr="00B3799F">
        <w:trPr>
          <w:trHeight w:val="1867"/>
        </w:trPr>
        <w:tc>
          <w:tcPr>
            <w:tcW w:w="5000" w:type="pct"/>
          </w:tcPr>
          <w:p w14:paraId="290AB58D" w14:textId="77777777" w:rsidR="00EC085F" w:rsidRDefault="00EC085F" w:rsidP="004F0B6D">
            <w:pPr>
              <w:pStyle w:val="ListParagraph"/>
              <w:ind w:left="0"/>
              <w:rPr>
                <w:lang w:eastAsia="en-GB"/>
              </w:rPr>
            </w:pPr>
          </w:p>
        </w:tc>
      </w:tr>
    </w:tbl>
    <w:p w14:paraId="554B82CC" w14:textId="7F96DFFB" w:rsidR="0044739D" w:rsidRDefault="008D2F71" w:rsidP="0044739D">
      <w:pPr>
        <w:pStyle w:val="ListParagraph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 xml:space="preserve">Does </w:t>
      </w:r>
      <w:r w:rsidR="0044739D">
        <w:rPr>
          <w:lang w:eastAsia="en-GB"/>
        </w:rPr>
        <w:t>the current transmission network charge allocation (the CRU’s interim solution) affect the development of BESSs</w:t>
      </w:r>
      <w:r>
        <w:rPr>
          <w:lang w:eastAsia="en-GB"/>
        </w:rPr>
        <w:t xml:space="preserve"> solutions for the </w:t>
      </w:r>
      <w:proofErr w:type="gramStart"/>
      <w:r>
        <w:rPr>
          <w:lang w:eastAsia="en-GB"/>
        </w:rPr>
        <w:t>grid</w:t>
      </w:r>
      <w:r w:rsidR="00F95B12">
        <w:rPr>
          <w:lang w:eastAsia="en-GB"/>
        </w:rPr>
        <w:t xml:space="preserve"> </w:t>
      </w:r>
      <w:proofErr w:type="gramEnd"/>
      <w:r w:rsidR="00F95B12">
        <w:rPr>
          <w:rStyle w:val="FootnoteReference"/>
          <w:lang w:eastAsia="en-GB"/>
        </w:rPr>
        <w:footnoteReference w:id="16"/>
      </w:r>
      <w:r w:rsidR="0044739D">
        <w:rPr>
          <w:lang w:eastAsia="en-GB"/>
        </w:rPr>
        <w:t xml:space="preserve">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4739D" w14:paraId="1DBDA50A" w14:textId="77777777" w:rsidTr="00B3799F">
        <w:trPr>
          <w:trHeight w:val="1409"/>
        </w:trPr>
        <w:tc>
          <w:tcPr>
            <w:tcW w:w="5000" w:type="pct"/>
          </w:tcPr>
          <w:p w14:paraId="5F1AAF22" w14:textId="77777777" w:rsidR="0044739D" w:rsidRDefault="0044739D" w:rsidP="0024200E">
            <w:pPr>
              <w:pStyle w:val="ListParagraph"/>
              <w:ind w:left="0"/>
              <w:rPr>
                <w:lang w:eastAsia="en-GB"/>
              </w:rPr>
            </w:pPr>
          </w:p>
        </w:tc>
      </w:tr>
    </w:tbl>
    <w:p w14:paraId="5C597F29" w14:textId="72B86BE7" w:rsidR="0044739D" w:rsidRDefault="00775696" w:rsidP="00E86115">
      <w:pPr>
        <w:pStyle w:val="ListParagraph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 xml:space="preserve">How does the </w:t>
      </w:r>
      <w:r w:rsidR="0044739D">
        <w:rPr>
          <w:lang w:eastAsia="en-GB"/>
        </w:rPr>
        <w:t xml:space="preserve">current </w:t>
      </w:r>
      <w:r>
        <w:rPr>
          <w:lang w:eastAsia="en-GB"/>
        </w:rPr>
        <w:t xml:space="preserve">connection </w:t>
      </w:r>
      <w:r w:rsidR="008D2F71">
        <w:rPr>
          <w:lang w:eastAsia="en-GB"/>
        </w:rPr>
        <w:t xml:space="preserve">policy of </w:t>
      </w:r>
      <w:r w:rsidR="0044739D">
        <w:rPr>
          <w:lang w:eastAsia="en-GB"/>
        </w:rPr>
        <w:t xml:space="preserve">grid connection affect the </w:t>
      </w:r>
      <w:r w:rsidR="008D2F71">
        <w:rPr>
          <w:lang w:eastAsia="en-GB"/>
        </w:rPr>
        <w:t xml:space="preserve">deployment </w:t>
      </w:r>
      <w:r w:rsidR="0044739D">
        <w:rPr>
          <w:lang w:eastAsia="en-GB"/>
        </w:rPr>
        <w:t>of BESSs in Ireland</w:t>
      </w:r>
      <w:r w:rsidR="00F95B12">
        <w:rPr>
          <w:rStyle w:val="FootnoteReference"/>
          <w:lang w:eastAsia="en-GB"/>
        </w:rPr>
        <w:footnoteReference w:id="17"/>
      </w:r>
      <w:r w:rsidR="0044739D">
        <w:rPr>
          <w:lang w:eastAsia="en-GB"/>
        </w:rPr>
        <w:t xml:space="preserve">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4739D" w14:paraId="5CD0CF95" w14:textId="77777777" w:rsidTr="00B3799F">
        <w:trPr>
          <w:trHeight w:val="1117"/>
        </w:trPr>
        <w:tc>
          <w:tcPr>
            <w:tcW w:w="5000" w:type="pct"/>
          </w:tcPr>
          <w:p w14:paraId="32F0D965" w14:textId="77777777" w:rsidR="0044739D" w:rsidRDefault="0044739D" w:rsidP="0044739D">
            <w:pPr>
              <w:pStyle w:val="ListParagraph"/>
              <w:ind w:left="0"/>
              <w:rPr>
                <w:lang w:eastAsia="en-GB"/>
              </w:rPr>
            </w:pPr>
          </w:p>
        </w:tc>
      </w:tr>
    </w:tbl>
    <w:p w14:paraId="346B208B" w14:textId="77777777" w:rsidR="005B0119" w:rsidRDefault="005B0119" w:rsidP="00C263F4">
      <w:pPr>
        <w:rPr>
          <w:rFonts w:eastAsia="Times New Roman"/>
          <w:b/>
          <w:color w:val="2F5496"/>
          <w:sz w:val="32"/>
          <w:szCs w:val="32"/>
          <w:lang w:eastAsia="en-GB"/>
        </w:rPr>
      </w:pPr>
    </w:p>
    <w:p w14:paraId="19661565" w14:textId="3F34F4EE" w:rsidR="00C263F4" w:rsidRDefault="00C263F4" w:rsidP="00C263F4">
      <w:pPr>
        <w:rPr>
          <w:rFonts w:eastAsia="Times New Roman"/>
          <w:b/>
          <w:color w:val="2F5496"/>
          <w:sz w:val="32"/>
          <w:szCs w:val="32"/>
          <w:lang w:eastAsia="en-GB"/>
        </w:rPr>
      </w:pPr>
      <w:r w:rsidRPr="00A53A0B">
        <w:rPr>
          <w:rFonts w:eastAsia="Times New Roman"/>
          <w:b/>
          <w:color w:val="2F5496"/>
          <w:sz w:val="32"/>
          <w:szCs w:val="32"/>
          <w:lang w:eastAsia="en-GB"/>
        </w:rPr>
        <w:t>Section</w:t>
      </w:r>
      <w:r w:rsidR="00774811">
        <w:rPr>
          <w:rFonts w:eastAsia="Times New Roman"/>
          <w:b/>
          <w:color w:val="2F5496"/>
          <w:sz w:val="32"/>
          <w:szCs w:val="32"/>
          <w:lang w:eastAsia="en-GB"/>
        </w:rPr>
        <w:t xml:space="preserve"> </w:t>
      </w:r>
      <w:r>
        <w:rPr>
          <w:rFonts w:eastAsia="Times New Roman"/>
          <w:b/>
          <w:color w:val="2F5496"/>
          <w:sz w:val="32"/>
          <w:szCs w:val="32"/>
          <w:lang w:eastAsia="en-GB"/>
        </w:rPr>
        <w:t>8. BESSs at the distribution level</w:t>
      </w:r>
      <w:r w:rsidR="0046557F">
        <w:rPr>
          <w:rStyle w:val="FootnoteReference"/>
          <w:rFonts w:eastAsia="Times New Roman"/>
          <w:b/>
          <w:color w:val="2F5496"/>
          <w:sz w:val="32"/>
          <w:szCs w:val="32"/>
          <w:lang w:eastAsia="en-GB"/>
        </w:rPr>
        <w:footnoteReference w:id="18"/>
      </w:r>
    </w:p>
    <w:p w14:paraId="6DA52E84" w14:textId="77777777" w:rsidR="00A23162" w:rsidRDefault="00A23162" w:rsidP="00C263F4">
      <w:pPr>
        <w:rPr>
          <w:rFonts w:eastAsia="Times New Roman"/>
          <w:b/>
          <w:color w:val="2F5496"/>
          <w:sz w:val="32"/>
          <w:szCs w:val="32"/>
          <w:lang w:eastAsia="en-GB"/>
        </w:rPr>
      </w:pPr>
    </w:p>
    <w:p w14:paraId="117F3E97" w14:textId="0CCC56BB" w:rsidR="007A3DFC" w:rsidRDefault="00775696" w:rsidP="00C263F4">
      <w:pPr>
        <w:pStyle w:val="ListParagraph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>What opportunities can residential</w:t>
      </w:r>
      <w:r w:rsidR="007A3DFC">
        <w:rPr>
          <w:lang w:eastAsia="en-GB"/>
        </w:rPr>
        <w:t xml:space="preserve"> BESS </w:t>
      </w:r>
      <w:r>
        <w:rPr>
          <w:lang w:eastAsia="en-GB"/>
        </w:rPr>
        <w:t>present for electricity suppliers</w:t>
      </w:r>
      <w:r w:rsidR="007A3DFC">
        <w:rPr>
          <w:lang w:eastAsia="en-GB"/>
        </w:rPr>
        <w:t xml:space="preserve">? </w:t>
      </w:r>
    </w:p>
    <w:tbl>
      <w:tblPr>
        <w:tblStyle w:val="TableGrid"/>
        <w:tblW w:w="4993" w:type="pct"/>
        <w:tblLook w:val="04A0" w:firstRow="1" w:lastRow="0" w:firstColumn="1" w:lastColumn="0" w:noHBand="0" w:noVBand="1"/>
      </w:tblPr>
      <w:tblGrid>
        <w:gridCol w:w="9003"/>
      </w:tblGrid>
      <w:tr w:rsidR="005B0119" w14:paraId="2B2B2D68" w14:textId="77777777" w:rsidTr="005B0119">
        <w:trPr>
          <w:trHeight w:val="1297"/>
        </w:trPr>
        <w:tc>
          <w:tcPr>
            <w:tcW w:w="5000" w:type="pct"/>
          </w:tcPr>
          <w:p w14:paraId="3ABACBDA" w14:textId="77777777" w:rsidR="005B0119" w:rsidRDefault="005B0119" w:rsidP="005B0119">
            <w:pPr>
              <w:pStyle w:val="ListParagraph"/>
              <w:ind w:left="0"/>
              <w:rPr>
                <w:lang w:eastAsia="en-GB"/>
              </w:rPr>
            </w:pPr>
          </w:p>
        </w:tc>
      </w:tr>
    </w:tbl>
    <w:p w14:paraId="1F0EFA20" w14:textId="616CD77D" w:rsidR="00AA685D" w:rsidRDefault="00AA685D" w:rsidP="00AA685D">
      <w:pPr>
        <w:pStyle w:val="ListParagraph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lastRenderedPageBreak/>
        <w:t xml:space="preserve">What opportunities can residential BESS present for customers/prosumers?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5B0119" w14:paraId="29D2CC97" w14:textId="77777777" w:rsidTr="005B0119">
        <w:trPr>
          <w:trHeight w:val="1480"/>
        </w:trPr>
        <w:tc>
          <w:tcPr>
            <w:tcW w:w="5000" w:type="pct"/>
          </w:tcPr>
          <w:p w14:paraId="70EF5D14" w14:textId="77777777" w:rsidR="005B0119" w:rsidRDefault="005B0119" w:rsidP="005B0119">
            <w:pPr>
              <w:rPr>
                <w:lang w:eastAsia="en-GB"/>
              </w:rPr>
            </w:pPr>
          </w:p>
        </w:tc>
      </w:tr>
    </w:tbl>
    <w:p w14:paraId="24DE8934" w14:textId="74E82226" w:rsidR="00AA685D" w:rsidRDefault="00AA685D" w:rsidP="00AA685D">
      <w:pPr>
        <w:pStyle w:val="ListParagraph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>What opportunities can residential BESS present for the DSO and TSO?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8"/>
      </w:tblGrid>
      <w:tr w:rsidR="007A3DFC" w14:paraId="30B20F1D" w14:textId="77777777" w:rsidTr="007A3DFC">
        <w:trPr>
          <w:trHeight w:val="1367"/>
        </w:trPr>
        <w:tc>
          <w:tcPr>
            <w:tcW w:w="8968" w:type="dxa"/>
          </w:tcPr>
          <w:p w14:paraId="4E3DB769" w14:textId="77777777" w:rsidR="007A3DFC" w:rsidRDefault="007A3DFC" w:rsidP="007A3DFC">
            <w:pPr>
              <w:pStyle w:val="ListParagraph"/>
              <w:ind w:left="0"/>
              <w:rPr>
                <w:lang w:eastAsia="en-GB"/>
              </w:rPr>
            </w:pPr>
          </w:p>
        </w:tc>
      </w:tr>
    </w:tbl>
    <w:p w14:paraId="165B0E52" w14:textId="28EB18BA" w:rsidR="007A3DFC" w:rsidRDefault="007A3DFC" w:rsidP="007A3DFC">
      <w:pPr>
        <w:pStyle w:val="ListParagraph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>Currently</w:t>
      </w:r>
      <w:r>
        <w:t xml:space="preserve"> </w:t>
      </w:r>
      <w:r w:rsidR="00AA685D">
        <w:t>the</w:t>
      </w:r>
      <w:r>
        <w:t xml:space="preserve"> connection of </w:t>
      </w:r>
      <w:r w:rsidR="00AA685D">
        <w:t>B</w:t>
      </w:r>
      <w:r>
        <w:t>ESS in the distribution network</w:t>
      </w:r>
      <w:r w:rsidR="00AA685D">
        <w:t xml:space="preserve"> is processed in a similar fashion to generation</w:t>
      </w:r>
      <w:r>
        <w:t xml:space="preserve">, how this could </w:t>
      </w:r>
      <w:proofErr w:type="gramStart"/>
      <w:r>
        <w:t>impact</w:t>
      </w:r>
      <w:proofErr w:type="gramEnd"/>
      <w:r>
        <w:t xml:space="preserve"> the mass deployment of BESSs in the distribution network?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A3DFC" w14:paraId="35224C91" w14:textId="77777777" w:rsidTr="007A3DFC">
        <w:trPr>
          <w:trHeight w:val="1695"/>
        </w:trPr>
        <w:tc>
          <w:tcPr>
            <w:tcW w:w="5000" w:type="pct"/>
          </w:tcPr>
          <w:p w14:paraId="6E0AF33D" w14:textId="77777777" w:rsidR="007A3DFC" w:rsidRDefault="007A3DFC" w:rsidP="007A3DFC">
            <w:pPr>
              <w:pStyle w:val="ListParagraph"/>
              <w:ind w:left="0"/>
              <w:rPr>
                <w:lang w:eastAsia="en-GB"/>
              </w:rPr>
            </w:pPr>
          </w:p>
        </w:tc>
      </w:tr>
    </w:tbl>
    <w:p w14:paraId="2ACEB4E9" w14:textId="6BF7B464" w:rsidR="007A3DFC" w:rsidRDefault="007A3DFC" w:rsidP="007A3DFC">
      <w:pPr>
        <w:pStyle w:val="CommentText"/>
        <w:numPr>
          <w:ilvl w:val="0"/>
          <w:numId w:val="20"/>
        </w:numPr>
      </w:pPr>
      <w:r>
        <w:t>Real-life demonstration</w:t>
      </w:r>
      <w:r w:rsidR="00AA685D">
        <w:t>s</w:t>
      </w:r>
      <w:r>
        <w:t xml:space="preserve"> of </w:t>
      </w:r>
      <w:r w:rsidR="00AA685D">
        <w:t>future innovation application of B</w:t>
      </w:r>
      <w:r>
        <w:t xml:space="preserve">ESS will require some regulatory permission. </w:t>
      </w:r>
      <w:r w:rsidR="00AA685D">
        <w:t>Are</w:t>
      </w:r>
      <w:r>
        <w:t xml:space="preserve"> “regulatory sandbox</w:t>
      </w:r>
      <w:r w:rsidR="00AA685D">
        <w:t>es</w:t>
      </w:r>
      <w:r>
        <w:t>” important</w:t>
      </w:r>
      <w:r w:rsidR="00AA685D">
        <w:t xml:space="preserve"> to enable this</w:t>
      </w:r>
      <w:r>
        <w:t xml:space="preserve">? How </w:t>
      </w:r>
      <w:r w:rsidR="00AA685D">
        <w:t xml:space="preserve">can </w:t>
      </w:r>
      <w:r>
        <w:t xml:space="preserve">policy </w:t>
      </w:r>
      <w:r w:rsidR="00AA685D">
        <w:t xml:space="preserve">be developed support to creation of </w:t>
      </w:r>
      <w:r>
        <w:t>regulatory sandbox</w:t>
      </w:r>
      <w:r w:rsidR="00AA685D">
        <w:t>es</w:t>
      </w:r>
      <w: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A3DFC" w14:paraId="3BDE8C43" w14:textId="77777777" w:rsidTr="007A3DFC">
        <w:trPr>
          <w:trHeight w:val="1484"/>
        </w:trPr>
        <w:tc>
          <w:tcPr>
            <w:tcW w:w="5000" w:type="pct"/>
          </w:tcPr>
          <w:p w14:paraId="53534082" w14:textId="77777777" w:rsidR="007A3DFC" w:rsidRDefault="007A3DFC" w:rsidP="007A3DFC">
            <w:pPr>
              <w:pStyle w:val="CommentText"/>
            </w:pPr>
          </w:p>
        </w:tc>
      </w:tr>
    </w:tbl>
    <w:p w14:paraId="7E145A96" w14:textId="36E33223" w:rsidR="007A3DFC" w:rsidRDefault="007A3DFC" w:rsidP="007A3DFC">
      <w:pPr>
        <w:pStyle w:val="ListParagraph"/>
        <w:numPr>
          <w:ilvl w:val="0"/>
          <w:numId w:val="20"/>
        </w:numPr>
        <w:rPr>
          <w:lang w:eastAsia="en-GB"/>
        </w:rPr>
      </w:pPr>
      <w:r>
        <w:t xml:space="preserve">What </w:t>
      </w:r>
      <w:r w:rsidR="00AA685D">
        <w:t>sh</w:t>
      </w:r>
      <w:r>
        <w:t>ould be the role</w:t>
      </w:r>
      <w:r w:rsidR="00AA685D">
        <w:t>s</w:t>
      </w:r>
      <w:r>
        <w:t xml:space="preserve"> of </w:t>
      </w:r>
      <w:r w:rsidR="00AA685D">
        <w:t>a</w:t>
      </w:r>
      <w:r>
        <w:t>ggregator</w:t>
      </w:r>
      <w:r w:rsidR="00AA685D">
        <w:t>s and suppliers</w:t>
      </w:r>
      <w:r>
        <w:t xml:space="preserve"> in promoting the deployment of non-utility size BESSs in Ireland at the distribution level?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A3DFC" w14:paraId="19593440" w14:textId="77777777" w:rsidTr="007A3DFC">
        <w:trPr>
          <w:trHeight w:val="1531"/>
        </w:trPr>
        <w:tc>
          <w:tcPr>
            <w:tcW w:w="5000" w:type="pct"/>
          </w:tcPr>
          <w:p w14:paraId="5E4BB485" w14:textId="77777777" w:rsidR="007A3DFC" w:rsidRDefault="007A3DFC" w:rsidP="007A3DFC">
            <w:pPr>
              <w:pStyle w:val="ListParagraph"/>
              <w:ind w:left="0"/>
              <w:rPr>
                <w:lang w:eastAsia="en-GB"/>
              </w:rPr>
            </w:pPr>
          </w:p>
        </w:tc>
      </w:tr>
    </w:tbl>
    <w:p w14:paraId="46278B24" w14:textId="17C6D7EE" w:rsidR="001B0599" w:rsidRDefault="00E005A4" w:rsidP="00C263F4">
      <w:pPr>
        <w:pStyle w:val="ListParagraph"/>
        <w:numPr>
          <w:ilvl w:val="0"/>
          <w:numId w:val="20"/>
        </w:numPr>
        <w:rPr>
          <w:lang w:eastAsia="en-GB"/>
        </w:rPr>
      </w:pPr>
      <w:proofErr w:type="gramStart"/>
      <w:r>
        <w:rPr>
          <w:lang w:eastAsia="en-GB"/>
        </w:rPr>
        <w:t>Should</w:t>
      </w:r>
      <w:r w:rsidR="001B0599">
        <w:rPr>
          <w:lang w:eastAsia="en-GB"/>
        </w:rPr>
        <w:t xml:space="preserve"> BESSs </w:t>
      </w:r>
      <w:r>
        <w:rPr>
          <w:lang w:eastAsia="en-GB"/>
        </w:rPr>
        <w:t>be deployed</w:t>
      </w:r>
      <w:proofErr w:type="gramEnd"/>
      <w:r>
        <w:rPr>
          <w:lang w:eastAsia="en-GB"/>
        </w:rPr>
        <w:t xml:space="preserve"> on MV/LV </w:t>
      </w:r>
      <w:proofErr w:type="spellStart"/>
      <w:r>
        <w:rPr>
          <w:lang w:eastAsia="en-GB"/>
        </w:rPr>
        <w:t>distributrion</w:t>
      </w:r>
      <w:proofErr w:type="spellEnd"/>
      <w:r>
        <w:rPr>
          <w:lang w:eastAsia="en-GB"/>
        </w:rPr>
        <w:t xml:space="preserve"> systems </w:t>
      </w:r>
      <w:r w:rsidR="001B0599">
        <w:rPr>
          <w:lang w:eastAsia="en-GB"/>
        </w:rPr>
        <w:t xml:space="preserve">for managing different localized peaks?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B0599" w14:paraId="1C2E0508" w14:textId="77777777" w:rsidTr="00B3799F">
        <w:trPr>
          <w:trHeight w:val="1522"/>
        </w:trPr>
        <w:tc>
          <w:tcPr>
            <w:tcW w:w="5000" w:type="pct"/>
          </w:tcPr>
          <w:p w14:paraId="7E04E0B9" w14:textId="77777777" w:rsidR="001B0599" w:rsidRDefault="001B0599" w:rsidP="0024200E">
            <w:pPr>
              <w:pStyle w:val="ListParagraph"/>
              <w:ind w:left="0"/>
              <w:rPr>
                <w:lang w:eastAsia="en-GB"/>
              </w:rPr>
            </w:pPr>
          </w:p>
        </w:tc>
      </w:tr>
    </w:tbl>
    <w:p w14:paraId="51152418" w14:textId="2F5AED5B" w:rsidR="001B0599" w:rsidRDefault="001B0599" w:rsidP="00DD624A">
      <w:pPr>
        <w:pStyle w:val="ListParagraph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 xml:space="preserve">How </w:t>
      </w:r>
      <w:proofErr w:type="gramStart"/>
      <w:r w:rsidR="00B43BCC">
        <w:rPr>
          <w:lang w:eastAsia="en-GB"/>
        </w:rPr>
        <w:t xml:space="preserve">should </w:t>
      </w:r>
      <w:r w:rsidR="00C263F4">
        <w:rPr>
          <w:lang w:eastAsia="en-GB"/>
        </w:rPr>
        <w:t xml:space="preserve">BESSs </w:t>
      </w:r>
      <w:r>
        <w:rPr>
          <w:lang w:eastAsia="en-GB"/>
        </w:rPr>
        <w:t xml:space="preserve">be </w:t>
      </w:r>
      <w:r w:rsidR="00B43BCC">
        <w:rPr>
          <w:lang w:eastAsia="en-GB"/>
        </w:rPr>
        <w:t xml:space="preserve">best </w:t>
      </w:r>
      <w:r>
        <w:rPr>
          <w:lang w:eastAsia="en-GB"/>
        </w:rPr>
        <w:t>deployed</w:t>
      </w:r>
      <w:proofErr w:type="gramEnd"/>
      <w:r>
        <w:rPr>
          <w:lang w:eastAsia="en-GB"/>
        </w:rPr>
        <w:t xml:space="preserve"> to optimize the use of distribution </w:t>
      </w:r>
      <w:r w:rsidR="00DD624A">
        <w:rPr>
          <w:lang w:eastAsia="en-GB"/>
        </w:rPr>
        <w:t>level</w:t>
      </w:r>
      <w:r>
        <w:rPr>
          <w:lang w:eastAsia="en-GB"/>
        </w:rPr>
        <w:t xml:space="preserve"> upgrading budgets</w:t>
      </w:r>
      <w:r w:rsidR="00C263F4">
        <w:rPr>
          <w:lang w:eastAsia="en-GB"/>
        </w:rPr>
        <w:t xml:space="preserve"> and </w:t>
      </w:r>
      <w:r w:rsidR="00B43BCC">
        <w:rPr>
          <w:lang w:eastAsia="en-GB"/>
        </w:rPr>
        <w:t xml:space="preserve">to enable </w:t>
      </w:r>
      <w:r w:rsidR="00C263F4">
        <w:rPr>
          <w:lang w:eastAsia="en-GB"/>
        </w:rPr>
        <w:t>investment deferral</w:t>
      </w:r>
      <w:r>
        <w:rPr>
          <w:lang w:eastAsia="en-GB"/>
        </w:rPr>
        <w:t xml:space="preserve">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B0599" w14:paraId="17570392" w14:textId="77777777" w:rsidTr="00B3799F">
        <w:trPr>
          <w:trHeight w:val="1314"/>
        </w:trPr>
        <w:tc>
          <w:tcPr>
            <w:tcW w:w="5000" w:type="pct"/>
          </w:tcPr>
          <w:p w14:paraId="2B848E62" w14:textId="77777777" w:rsidR="001B0599" w:rsidRDefault="001B0599" w:rsidP="001B0599">
            <w:pPr>
              <w:rPr>
                <w:lang w:eastAsia="en-GB"/>
              </w:rPr>
            </w:pPr>
          </w:p>
        </w:tc>
      </w:tr>
    </w:tbl>
    <w:p w14:paraId="6061161B" w14:textId="41B2FF24" w:rsidR="001B0599" w:rsidRDefault="001B0599" w:rsidP="007A3DFC">
      <w:pPr>
        <w:pStyle w:val="ListParagraph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>Considering the</w:t>
      </w:r>
      <w:r w:rsidR="0043392F">
        <w:rPr>
          <w:lang w:eastAsia="en-GB"/>
        </w:rPr>
        <w:t xml:space="preserve"> </w:t>
      </w:r>
      <w:proofErr w:type="spellStart"/>
      <w:r w:rsidR="00E005A4">
        <w:rPr>
          <w:lang w:eastAsia="en-GB"/>
        </w:rPr>
        <w:t>the</w:t>
      </w:r>
      <w:proofErr w:type="spellEnd"/>
      <w:r w:rsidR="00E005A4">
        <w:rPr>
          <w:lang w:eastAsia="en-GB"/>
        </w:rPr>
        <w:t xml:space="preserve"> significant penetrations of</w:t>
      </w:r>
      <w:r w:rsidR="0043392F">
        <w:rPr>
          <w:lang w:eastAsia="en-GB"/>
        </w:rPr>
        <w:t xml:space="preserve"> (50%) of renewable-</w:t>
      </w:r>
      <w:r>
        <w:rPr>
          <w:lang w:eastAsia="en-GB"/>
        </w:rPr>
        <w:t xml:space="preserve">based distributed energy generation by 2030 connected to the distribution </w:t>
      </w:r>
      <w:r w:rsidR="00E005A4">
        <w:rPr>
          <w:lang w:eastAsia="en-GB"/>
        </w:rPr>
        <w:t>system</w:t>
      </w:r>
      <w:r>
        <w:rPr>
          <w:lang w:eastAsia="en-GB"/>
        </w:rPr>
        <w:t xml:space="preserve">, </w:t>
      </w:r>
      <w:r w:rsidR="00E005A4">
        <w:rPr>
          <w:lang w:eastAsia="en-GB"/>
        </w:rPr>
        <w:t>what role should</w:t>
      </w:r>
      <w:r>
        <w:rPr>
          <w:lang w:eastAsia="en-GB"/>
        </w:rPr>
        <w:t xml:space="preserve"> BESSs </w:t>
      </w:r>
      <w:r w:rsidR="00E005A4">
        <w:rPr>
          <w:lang w:eastAsia="en-GB"/>
        </w:rPr>
        <w:t>have in</w:t>
      </w:r>
      <w:r>
        <w:rPr>
          <w:lang w:eastAsia="en-GB"/>
        </w:rPr>
        <w:t xml:space="preserve"> maintain</w:t>
      </w:r>
      <w:r w:rsidR="00E005A4">
        <w:rPr>
          <w:lang w:eastAsia="en-GB"/>
        </w:rPr>
        <w:t>ing</w:t>
      </w:r>
      <w:r>
        <w:rPr>
          <w:lang w:eastAsia="en-GB"/>
        </w:rPr>
        <w:t xml:space="preserve"> the reliability of supply for </w:t>
      </w:r>
      <w:r w:rsidR="00E005A4">
        <w:rPr>
          <w:lang w:eastAsia="en-GB"/>
        </w:rPr>
        <w:t>MV and LV connected customers?</w:t>
      </w:r>
      <w:r>
        <w:rPr>
          <w:lang w:eastAsia="en-GB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B0599" w14:paraId="398D39FE" w14:textId="77777777" w:rsidTr="00B3799F">
        <w:trPr>
          <w:trHeight w:val="1342"/>
        </w:trPr>
        <w:tc>
          <w:tcPr>
            <w:tcW w:w="5000" w:type="pct"/>
          </w:tcPr>
          <w:p w14:paraId="56E5662A" w14:textId="77777777" w:rsidR="001B0599" w:rsidRPr="00F85F40" w:rsidRDefault="001B0599" w:rsidP="001B0599">
            <w:pPr>
              <w:pStyle w:val="ListParagraph"/>
              <w:ind w:left="0"/>
              <w:rPr>
                <w:lang w:val="en-GB" w:eastAsia="en-GB"/>
              </w:rPr>
            </w:pPr>
          </w:p>
        </w:tc>
      </w:tr>
    </w:tbl>
    <w:p w14:paraId="07DE3993" w14:textId="1448D42F" w:rsidR="001B0599" w:rsidRPr="005B0119" w:rsidRDefault="00E005A4" w:rsidP="005B0119">
      <w:pPr>
        <w:pStyle w:val="ListParagraph"/>
        <w:numPr>
          <w:ilvl w:val="0"/>
          <w:numId w:val="20"/>
        </w:numPr>
        <w:rPr>
          <w:lang w:eastAsia="en-GB"/>
        </w:rPr>
      </w:pPr>
      <w:r w:rsidRPr="005B0119">
        <w:t xml:space="preserve">What role should </w:t>
      </w:r>
      <w:r w:rsidR="00D16674" w:rsidRPr="005B0119">
        <w:t xml:space="preserve">BESSs </w:t>
      </w:r>
      <w:r w:rsidRPr="005B0119">
        <w:t>play in</w:t>
      </w:r>
      <w:r w:rsidR="00D16674" w:rsidRPr="005B0119">
        <w:t xml:space="preserve"> </w:t>
      </w:r>
      <w:r w:rsidRPr="005B0119">
        <w:t xml:space="preserve">the </w:t>
      </w:r>
      <w:r w:rsidR="00D16674" w:rsidRPr="005B0119">
        <w:t>development of local flexibility market</w:t>
      </w:r>
      <w:r w:rsidRPr="005B0119">
        <w:t>s</w:t>
      </w:r>
      <w:r w:rsidR="00D16674" w:rsidRPr="005B0119">
        <w:t xml:space="preserve"> in Ireland?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85F40" w14:paraId="3FA1A943" w14:textId="77777777" w:rsidTr="00B3799F">
        <w:trPr>
          <w:trHeight w:val="1084"/>
        </w:trPr>
        <w:tc>
          <w:tcPr>
            <w:tcW w:w="5000" w:type="pct"/>
          </w:tcPr>
          <w:p w14:paraId="17840ADE" w14:textId="77777777" w:rsidR="00F85F40" w:rsidRDefault="00F85F40" w:rsidP="00F85F40">
            <w:pPr>
              <w:pStyle w:val="ListParagraph"/>
              <w:ind w:left="0"/>
              <w:rPr>
                <w:lang w:eastAsia="en-GB"/>
              </w:rPr>
            </w:pPr>
          </w:p>
        </w:tc>
      </w:tr>
    </w:tbl>
    <w:p w14:paraId="2B8CBAF3" w14:textId="4900D8CE" w:rsidR="00D16674" w:rsidRDefault="00D16674" w:rsidP="005B0119">
      <w:pPr>
        <w:pStyle w:val="CommentText"/>
        <w:numPr>
          <w:ilvl w:val="0"/>
          <w:numId w:val="20"/>
        </w:numPr>
      </w:pPr>
      <w:r>
        <w:t xml:space="preserve">What are the barriers in deploying </w:t>
      </w:r>
      <w:r w:rsidR="00E005A4">
        <w:t>B</w:t>
      </w:r>
      <w:r>
        <w:t xml:space="preserve">ESS at the low voltage residential distribution network?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F28B4" w14:paraId="172FE32F" w14:textId="77777777" w:rsidTr="00B3799F">
        <w:trPr>
          <w:trHeight w:val="1111"/>
        </w:trPr>
        <w:tc>
          <w:tcPr>
            <w:tcW w:w="5000" w:type="pct"/>
          </w:tcPr>
          <w:p w14:paraId="455634AE" w14:textId="77777777" w:rsidR="006F28B4" w:rsidRDefault="006F28B4" w:rsidP="00F85F40">
            <w:pPr>
              <w:pStyle w:val="ListParagraph"/>
              <w:ind w:left="0"/>
              <w:rPr>
                <w:lang w:eastAsia="en-GB"/>
              </w:rPr>
            </w:pPr>
          </w:p>
        </w:tc>
      </w:tr>
    </w:tbl>
    <w:p w14:paraId="07952CD3" w14:textId="11A40A77" w:rsidR="006F28B4" w:rsidRDefault="006F28B4" w:rsidP="00D16674">
      <w:pPr>
        <w:pStyle w:val="ListParagraph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 xml:space="preserve">How </w:t>
      </w:r>
      <w:r w:rsidR="00B43BCC">
        <w:rPr>
          <w:lang w:eastAsia="en-GB"/>
        </w:rPr>
        <w:t xml:space="preserve">could </w:t>
      </w:r>
      <w:r>
        <w:rPr>
          <w:lang w:eastAsia="en-GB"/>
        </w:rPr>
        <w:t xml:space="preserve">BESSs </w:t>
      </w:r>
      <w:r w:rsidR="00B43BCC">
        <w:rPr>
          <w:lang w:eastAsia="en-GB"/>
        </w:rPr>
        <w:t>contribute to</w:t>
      </w:r>
      <w:r>
        <w:rPr>
          <w:lang w:eastAsia="en-GB"/>
        </w:rPr>
        <w:t xml:space="preserve"> the reliability</w:t>
      </w:r>
      <w:r w:rsidR="00D16674">
        <w:rPr>
          <w:lang w:eastAsia="en-GB"/>
        </w:rPr>
        <w:t xml:space="preserve"> and automation</w:t>
      </w:r>
      <w:r>
        <w:rPr>
          <w:lang w:eastAsia="en-GB"/>
        </w:rPr>
        <w:t xml:space="preserve"> of </w:t>
      </w:r>
      <w:r w:rsidR="0043392F">
        <w:rPr>
          <w:lang w:eastAsia="en-GB"/>
        </w:rPr>
        <w:t xml:space="preserve">the </w:t>
      </w:r>
      <w:r>
        <w:rPr>
          <w:lang w:eastAsia="en-GB"/>
        </w:rPr>
        <w:t xml:space="preserve">MV distribution </w:t>
      </w:r>
      <w:r w:rsidR="00BF46C6">
        <w:rPr>
          <w:lang w:eastAsia="en-GB"/>
        </w:rPr>
        <w:t>level</w:t>
      </w:r>
      <w:r>
        <w:rPr>
          <w:lang w:eastAsia="en-GB"/>
        </w:rPr>
        <w:t xml:space="preserve"> </w:t>
      </w:r>
      <w:proofErr w:type="gramStart"/>
      <w:r w:rsidR="00D16674">
        <w:rPr>
          <w:lang w:eastAsia="en-GB"/>
        </w:rPr>
        <w:t>and also</w:t>
      </w:r>
      <w:proofErr w:type="gramEnd"/>
      <w:r w:rsidR="00D16674">
        <w:rPr>
          <w:lang w:eastAsia="en-GB"/>
        </w:rPr>
        <w:t xml:space="preserve"> enhance the reliability of the LV level</w:t>
      </w:r>
      <w:r>
        <w:rPr>
          <w:lang w:eastAsia="en-GB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F28B4" w14:paraId="693548B9" w14:textId="77777777" w:rsidTr="00B3799F">
        <w:trPr>
          <w:trHeight w:val="1334"/>
        </w:trPr>
        <w:tc>
          <w:tcPr>
            <w:tcW w:w="5000" w:type="pct"/>
          </w:tcPr>
          <w:p w14:paraId="607E52A4" w14:textId="77777777" w:rsidR="006F28B4" w:rsidRDefault="006F28B4" w:rsidP="006F28B4">
            <w:pPr>
              <w:rPr>
                <w:lang w:eastAsia="en-GB"/>
              </w:rPr>
            </w:pPr>
          </w:p>
        </w:tc>
      </w:tr>
    </w:tbl>
    <w:p w14:paraId="4B31DC47" w14:textId="1372D840" w:rsidR="006F28B4" w:rsidRDefault="00B44DFE" w:rsidP="008614FD">
      <w:pPr>
        <w:pStyle w:val="ListParagraph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>How</w:t>
      </w:r>
      <w:r w:rsidR="00670373">
        <w:rPr>
          <w:lang w:eastAsia="en-GB"/>
        </w:rPr>
        <w:t xml:space="preserve"> could</w:t>
      </w:r>
      <w:r>
        <w:rPr>
          <w:lang w:eastAsia="en-GB"/>
        </w:rPr>
        <w:t xml:space="preserve"> </w:t>
      </w:r>
      <w:r w:rsidR="00670373">
        <w:rPr>
          <w:lang w:eastAsia="en-GB"/>
        </w:rPr>
        <w:t xml:space="preserve">a </w:t>
      </w:r>
      <w:r w:rsidR="008614FD">
        <w:rPr>
          <w:lang w:eastAsia="en-GB"/>
        </w:rPr>
        <w:t>community-owned</w:t>
      </w:r>
      <w:r w:rsidR="006F28B4">
        <w:rPr>
          <w:lang w:eastAsia="en-GB"/>
        </w:rPr>
        <w:t xml:space="preserve"> BESS</w:t>
      </w:r>
      <w:r w:rsidR="008614FD">
        <w:rPr>
          <w:lang w:eastAsia="en-GB"/>
        </w:rPr>
        <w:t xml:space="preserve">, which </w:t>
      </w:r>
      <w:proofErr w:type="gramStart"/>
      <w:r w:rsidR="008614FD">
        <w:rPr>
          <w:lang w:eastAsia="en-GB"/>
        </w:rPr>
        <w:t>is</w:t>
      </w:r>
      <w:r>
        <w:rPr>
          <w:lang w:eastAsia="en-GB"/>
        </w:rPr>
        <w:t xml:space="preserve"> installed</w:t>
      </w:r>
      <w:proofErr w:type="gramEnd"/>
      <w:r w:rsidR="008614FD">
        <w:rPr>
          <w:lang w:eastAsia="en-GB"/>
        </w:rPr>
        <w:t xml:space="preserve"> in the</w:t>
      </w:r>
      <w:r w:rsidR="006F28B4">
        <w:rPr>
          <w:lang w:eastAsia="en-GB"/>
        </w:rPr>
        <w:t xml:space="preserve"> MV</w:t>
      </w:r>
      <w:r w:rsidR="008614FD">
        <w:rPr>
          <w:lang w:eastAsia="en-GB"/>
        </w:rPr>
        <w:t xml:space="preserve"> level,</w:t>
      </w:r>
      <w:r w:rsidR="00670373">
        <w:rPr>
          <w:lang w:eastAsia="en-GB"/>
        </w:rPr>
        <w:t xml:space="preserve"> </w:t>
      </w:r>
      <w:r>
        <w:rPr>
          <w:lang w:eastAsia="en-GB"/>
        </w:rPr>
        <w:t>leverage the participation of residential deman</w:t>
      </w:r>
      <w:r w:rsidR="008614FD">
        <w:rPr>
          <w:lang w:eastAsia="en-GB"/>
        </w:rPr>
        <w:t>d in the local, and DSO-</w:t>
      </w:r>
      <w:r>
        <w:rPr>
          <w:lang w:eastAsia="en-GB"/>
        </w:rPr>
        <w:t>TSO markets</w:t>
      </w:r>
      <w:r w:rsidR="006F28B4">
        <w:rPr>
          <w:lang w:eastAsia="en-GB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B44DFE" w14:paraId="55110445" w14:textId="77777777" w:rsidTr="00B3799F">
        <w:trPr>
          <w:trHeight w:val="1134"/>
        </w:trPr>
        <w:tc>
          <w:tcPr>
            <w:tcW w:w="5000" w:type="pct"/>
          </w:tcPr>
          <w:p w14:paraId="1B9C4508" w14:textId="77777777" w:rsidR="00B44DFE" w:rsidRDefault="00B44DFE" w:rsidP="006F28B4">
            <w:pPr>
              <w:rPr>
                <w:lang w:eastAsia="en-GB"/>
              </w:rPr>
            </w:pPr>
          </w:p>
        </w:tc>
      </w:tr>
    </w:tbl>
    <w:p w14:paraId="28A3FA43" w14:textId="0CCEECCE" w:rsidR="00B44DFE" w:rsidRDefault="00B44DFE" w:rsidP="008614FD">
      <w:pPr>
        <w:pStyle w:val="ListParagraph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 xml:space="preserve">How </w:t>
      </w:r>
      <w:r w:rsidR="00670373">
        <w:rPr>
          <w:lang w:eastAsia="en-GB"/>
        </w:rPr>
        <w:t xml:space="preserve">could a </w:t>
      </w:r>
      <w:r w:rsidR="008614FD">
        <w:rPr>
          <w:lang w:eastAsia="en-GB"/>
        </w:rPr>
        <w:t xml:space="preserve">community-owned BESS, which </w:t>
      </w:r>
      <w:proofErr w:type="gramStart"/>
      <w:r w:rsidR="008614FD">
        <w:rPr>
          <w:lang w:eastAsia="en-GB"/>
        </w:rPr>
        <w:t xml:space="preserve">is </w:t>
      </w:r>
      <w:r>
        <w:rPr>
          <w:lang w:eastAsia="en-GB"/>
        </w:rPr>
        <w:t>installed</w:t>
      </w:r>
      <w:proofErr w:type="gramEnd"/>
      <w:r>
        <w:rPr>
          <w:lang w:eastAsia="en-GB"/>
        </w:rPr>
        <w:t xml:space="preserve"> in </w:t>
      </w:r>
      <w:r w:rsidR="008614FD">
        <w:rPr>
          <w:lang w:eastAsia="en-GB"/>
        </w:rPr>
        <w:t>the</w:t>
      </w:r>
      <w:r>
        <w:rPr>
          <w:lang w:eastAsia="en-GB"/>
        </w:rPr>
        <w:t xml:space="preserve"> MV</w:t>
      </w:r>
      <w:r w:rsidR="008614FD">
        <w:rPr>
          <w:lang w:eastAsia="en-GB"/>
        </w:rPr>
        <w:t xml:space="preserve"> level, </w:t>
      </w:r>
      <w:r>
        <w:rPr>
          <w:lang w:eastAsia="en-GB"/>
        </w:rPr>
        <w:t>promote the reliability and resiliency of supply for the residential customers?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B44DFE" w14:paraId="0AAA0258" w14:textId="77777777" w:rsidTr="00B3799F">
        <w:trPr>
          <w:trHeight w:val="1427"/>
        </w:trPr>
        <w:tc>
          <w:tcPr>
            <w:tcW w:w="5000" w:type="pct"/>
          </w:tcPr>
          <w:p w14:paraId="38D97D55" w14:textId="77777777" w:rsidR="00B44DFE" w:rsidRDefault="00B44DFE" w:rsidP="006F28B4">
            <w:pPr>
              <w:rPr>
                <w:lang w:eastAsia="en-GB"/>
              </w:rPr>
            </w:pPr>
          </w:p>
        </w:tc>
      </w:tr>
    </w:tbl>
    <w:p w14:paraId="54F84387" w14:textId="1BFE19B9" w:rsidR="006F28B4" w:rsidRDefault="00B44DFE" w:rsidP="00EC085F">
      <w:pPr>
        <w:pStyle w:val="ListParagraph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 xml:space="preserve">How can </w:t>
      </w:r>
      <w:r w:rsidR="00670373">
        <w:rPr>
          <w:lang w:eastAsia="en-GB"/>
        </w:rPr>
        <w:t>a</w:t>
      </w:r>
      <w:r>
        <w:rPr>
          <w:lang w:eastAsia="en-GB"/>
        </w:rPr>
        <w:t xml:space="preserve"> BESS </w:t>
      </w:r>
      <w:r w:rsidR="00670373">
        <w:rPr>
          <w:lang w:eastAsia="en-GB"/>
        </w:rPr>
        <w:t>connected to</w:t>
      </w:r>
      <w:r>
        <w:rPr>
          <w:lang w:eastAsia="en-GB"/>
        </w:rPr>
        <w:t xml:space="preserve"> the MV or LV distribution system improve the management of network congestion or mitigat</w:t>
      </w:r>
      <w:r w:rsidR="00670373">
        <w:rPr>
          <w:lang w:eastAsia="en-GB"/>
        </w:rPr>
        <w:t>e</w:t>
      </w:r>
      <w:r>
        <w:rPr>
          <w:lang w:eastAsia="en-GB"/>
        </w:rPr>
        <w:t xml:space="preserve"> the network contingencies in Ireland?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B44DFE" w14:paraId="48CCF5C3" w14:textId="77777777" w:rsidTr="00B3799F">
        <w:trPr>
          <w:trHeight w:val="1256"/>
        </w:trPr>
        <w:tc>
          <w:tcPr>
            <w:tcW w:w="5000" w:type="pct"/>
          </w:tcPr>
          <w:p w14:paraId="322ECF21" w14:textId="77777777" w:rsidR="00B44DFE" w:rsidRDefault="00B44DFE" w:rsidP="00F85F40">
            <w:pPr>
              <w:pStyle w:val="ListParagraph"/>
              <w:ind w:left="0"/>
              <w:rPr>
                <w:lang w:eastAsia="en-GB"/>
              </w:rPr>
            </w:pPr>
          </w:p>
        </w:tc>
      </w:tr>
    </w:tbl>
    <w:p w14:paraId="551CF009" w14:textId="795439A5" w:rsidR="00F85F40" w:rsidRDefault="00B44DFE" w:rsidP="00EC085F">
      <w:pPr>
        <w:pStyle w:val="ListParagraph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 xml:space="preserve">What </w:t>
      </w:r>
      <w:r w:rsidR="000C4516">
        <w:rPr>
          <w:lang w:eastAsia="en-GB"/>
        </w:rPr>
        <w:t>are</w:t>
      </w:r>
      <w:r>
        <w:rPr>
          <w:lang w:eastAsia="en-GB"/>
        </w:rPr>
        <w:t xml:space="preserve"> the best approach</w:t>
      </w:r>
      <w:r w:rsidR="000C4516">
        <w:rPr>
          <w:lang w:eastAsia="en-GB"/>
        </w:rPr>
        <w:t>es</w:t>
      </w:r>
      <w:r>
        <w:rPr>
          <w:lang w:eastAsia="en-GB"/>
        </w:rPr>
        <w:t xml:space="preserve"> for using BESSs </w:t>
      </w:r>
      <w:r w:rsidR="000C4516">
        <w:rPr>
          <w:lang w:eastAsia="en-GB"/>
        </w:rPr>
        <w:t xml:space="preserve">connected to </w:t>
      </w:r>
      <w:r>
        <w:rPr>
          <w:lang w:eastAsia="en-GB"/>
        </w:rPr>
        <w:t xml:space="preserve">the distribution </w:t>
      </w:r>
      <w:r w:rsidR="000C4516">
        <w:rPr>
          <w:lang w:eastAsia="en-GB"/>
        </w:rPr>
        <w:t xml:space="preserve">network </w:t>
      </w:r>
      <w:r>
        <w:rPr>
          <w:lang w:eastAsia="en-GB"/>
        </w:rPr>
        <w:t>to resolve</w:t>
      </w:r>
      <w:r w:rsidR="00201B32">
        <w:rPr>
          <w:lang w:eastAsia="en-GB"/>
        </w:rPr>
        <w:t xml:space="preserve"> the thermal, voltage, short-</w:t>
      </w:r>
      <w:r>
        <w:rPr>
          <w:lang w:eastAsia="en-GB"/>
        </w:rPr>
        <w:t xml:space="preserve">circuit level issues, and </w:t>
      </w:r>
      <w:r w:rsidR="00FF4E72">
        <w:rPr>
          <w:lang w:eastAsia="en-GB"/>
        </w:rPr>
        <w:t xml:space="preserve">preserve </w:t>
      </w:r>
      <w:r>
        <w:rPr>
          <w:lang w:eastAsia="en-GB"/>
        </w:rPr>
        <w:t xml:space="preserve">the dynamic stability of </w:t>
      </w:r>
      <w:r w:rsidR="00FF4E72">
        <w:rPr>
          <w:lang w:eastAsia="en-GB"/>
        </w:rPr>
        <w:t xml:space="preserve">the </w:t>
      </w:r>
      <w:r>
        <w:rPr>
          <w:lang w:eastAsia="en-GB"/>
        </w:rPr>
        <w:t xml:space="preserve">network?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524A7E" w14:paraId="4B40034A" w14:textId="77777777" w:rsidTr="00B3799F">
        <w:trPr>
          <w:trHeight w:val="1230"/>
        </w:trPr>
        <w:tc>
          <w:tcPr>
            <w:tcW w:w="5000" w:type="pct"/>
          </w:tcPr>
          <w:p w14:paraId="18F6B30F" w14:textId="77777777" w:rsidR="00524A7E" w:rsidRDefault="00524A7E" w:rsidP="00524A7E">
            <w:pPr>
              <w:pStyle w:val="ListParagraph"/>
              <w:ind w:left="0"/>
              <w:rPr>
                <w:lang w:eastAsia="en-GB"/>
              </w:rPr>
            </w:pPr>
          </w:p>
        </w:tc>
      </w:tr>
    </w:tbl>
    <w:p w14:paraId="6FA4C82F" w14:textId="20BBB12E" w:rsidR="00C77A02" w:rsidRDefault="0080059C" w:rsidP="00BF46C6">
      <w:pPr>
        <w:pStyle w:val="ListParagraph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>Wh</w:t>
      </w:r>
      <w:r w:rsidR="00FF4E72">
        <w:rPr>
          <w:lang w:eastAsia="en-GB"/>
        </w:rPr>
        <w:t>at</w:t>
      </w:r>
      <w:r>
        <w:rPr>
          <w:lang w:eastAsia="en-GB"/>
        </w:rPr>
        <w:t xml:space="preserve"> </w:t>
      </w:r>
      <w:r w:rsidR="00C77A02">
        <w:rPr>
          <w:lang w:eastAsia="en-GB"/>
        </w:rPr>
        <w:t xml:space="preserve">requirements should the BESSs </w:t>
      </w:r>
      <w:r>
        <w:rPr>
          <w:lang w:eastAsia="en-GB"/>
        </w:rPr>
        <w:t xml:space="preserve">meet </w:t>
      </w:r>
      <w:r w:rsidR="00C77A02">
        <w:rPr>
          <w:lang w:eastAsia="en-GB"/>
        </w:rPr>
        <w:t xml:space="preserve">to increase </w:t>
      </w:r>
      <w:r w:rsidR="00FF4E72">
        <w:rPr>
          <w:lang w:eastAsia="en-GB"/>
        </w:rPr>
        <w:t xml:space="preserve">their </w:t>
      </w:r>
      <w:r w:rsidR="00C77A02">
        <w:rPr>
          <w:lang w:eastAsia="en-GB"/>
        </w:rPr>
        <w:t xml:space="preserve">visibility </w:t>
      </w:r>
      <w:r w:rsidR="00FF4E72">
        <w:rPr>
          <w:lang w:eastAsia="en-GB"/>
        </w:rPr>
        <w:t>at</w:t>
      </w:r>
      <w:r w:rsidR="00C77A02">
        <w:rPr>
          <w:lang w:eastAsia="en-GB"/>
        </w:rPr>
        <w:t xml:space="preserve"> the LV networks? How </w:t>
      </w:r>
      <w:r>
        <w:rPr>
          <w:lang w:eastAsia="en-GB"/>
        </w:rPr>
        <w:t xml:space="preserve">could </w:t>
      </w:r>
      <w:r w:rsidR="00C77A02">
        <w:rPr>
          <w:lang w:eastAsia="en-GB"/>
        </w:rPr>
        <w:t xml:space="preserve">neglecting these requirements </w:t>
      </w:r>
      <w:r w:rsidR="00BF46C6">
        <w:rPr>
          <w:lang w:eastAsia="en-GB"/>
        </w:rPr>
        <w:t>act</w:t>
      </w:r>
      <w:r>
        <w:rPr>
          <w:lang w:eastAsia="en-GB"/>
        </w:rPr>
        <w:t xml:space="preserve"> </w:t>
      </w:r>
      <w:r w:rsidR="00FF4E72">
        <w:rPr>
          <w:lang w:eastAsia="en-GB"/>
        </w:rPr>
        <w:t xml:space="preserve">as </w:t>
      </w:r>
      <w:r>
        <w:rPr>
          <w:lang w:eastAsia="en-GB"/>
        </w:rPr>
        <w:t>a</w:t>
      </w:r>
      <w:r w:rsidR="00C77A02">
        <w:rPr>
          <w:lang w:eastAsia="en-GB"/>
        </w:rPr>
        <w:t xml:space="preserve"> barrier </w:t>
      </w:r>
      <w:r>
        <w:rPr>
          <w:lang w:eastAsia="en-GB"/>
        </w:rPr>
        <w:t xml:space="preserve">for </w:t>
      </w:r>
      <w:r w:rsidR="00C77A02">
        <w:rPr>
          <w:lang w:eastAsia="en-GB"/>
        </w:rPr>
        <w:t>achiev</w:t>
      </w:r>
      <w:r>
        <w:rPr>
          <w:lang w:eastAsia="en-GB"/>
        </w:rPr>
        <w:t>ing</w:t>
      </w:r>
      <w:r w:rsidR="00C77A02">
        <w:rPr>
          <w:lang w:eastAsia="en-GB"/>
        </w:rPr>
        <w:t xml:space="preserve"> </w:t>
      </w:r>
      <w:r w:rsidR="00FF4E72">
        <w:rPr>
          <w:lang w:eastAsia="en-GB"/>
        </w:rPr>
        <w:t>cost-</w:t>
      </w:r>
      <w:r>
        <w:rPr>
          <w:lang w:eastAsia="en-GB"/>
        </w:rPr>
        <w:t xml:space="preserve">effectively and efficiently </w:t>
      </w:r>
      <w:r w:rsidR="00C77A02">
        <w:rPr>
          <w:lang w:eastAsia="en-GB"/>
        </w:rPr>
        <w:t xml:space="preserve">the </w:t>
      </w:r>
      <w:proofErr w:type="gramStart"/>
      <w:r w:rsidR="00C77A02">
        <w:rPr>
          <w:lang w:eastAsia="en-GB"/>
        </w:rPr>
        <w:t>distribution system development goals</w:t>
      </w:r>
      <w:proofErr w:type="gramEnd"/>
      <w:r w:rsidR="00C77A02">
        <w:rPr>
          <w:lang w:eastAsia="en-GB"/>
        </w:rPr>
        <w:t xml:space="preserve">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C77A02" w14:paraId="3CA16908" w14:textId="77777777" w:rsidTr="00B3799F">
        <w:trPr>
          <w:trHeight w:val="1610"/>
        </w:trPr>
        <w:tc>
          <w:tcPr>
            <w:tcW w:w="5000" w:type="pct"/>
          </w:tcPr>
          <w:p w14:paraId="7871B108" w14:textId="77777777" w:rsidR="00C77A02" w:rsidRDefault="00C77A02" w:rsidP="00C77A02">
            <w:pPr>
              <w:pStyle w:val="ListParagraph"/>
              <w:ind w:left="0"/>
              <w:rPr>
                <w:lang w:eastAsia="en-GB"/>
              </w:rPr>
            </w:pPr>
          </w:p>
        </w:tc>
      </w:tr>
    </w:tbl>
    <w:p w14:paraId="63827F9F" w14:textId="36B3C11E" w:rsidR="00474B1A" w:rsidRDefault="002F408F" w:rsidP="001A2325">
      <w:pPr>
        <w:pStyle w:val="ListParagraph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 xml:space="preserve">Do </w:t>
      </w:r>
      <w:r w:rsidR="005F4525">
        <w:rPr>
          <w:lang w:eastAsia="en-GB"/>
        </w:rPr>
        <w:t xml:space="preserve">the DSOs </w:t>
      </w:r>
      <w:r>
        <w:rPr>
          <w:lang w:eastAsia="en-GB"/>
        </w:rPr>
        <w:t xml:space="preserve">receive </w:t>
      </w:r>
      <w:r w:rsidR="005F4525">
        <w:rPr>
          <w:lang w:eastAsia="en-GB"/>
        </w:rPr>
        <w:t xml:space="preserve">enough incentives to make the connections </w:t>
      </w:r>
      <w:r>
        <w:rPr>
          <w:lang w:eastAsia="en-GB"/>
        </w:rPr>
        <w:t xml:space="preserve">of BESS </w:t>
      </w:r>
      <w:r w:rsidR="005F4525">
        <w:rPr>
          <w:lang w:eastAsia="en-GB"/>
        </w:rPr>
        <w:t>compatible with future networks requirement</w:t>
      </w:r>
      <w:r>
        <w:rPr>
          <w:lang w:eastAsia="en-GB"/>
        </w:rPr>
        <w:t>s</w:t>
      </w:r>
      <w:r w:rsidR="005F4525">
        <w:rPr>
          <w:lang w:eastAsia="en-GB"/>
        </w:rPr>
        <w:t xml:space="preserve"> such as smart meters, increased demand level, and two-way information/ power flows?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5F4525" w14:paraId="6781FC60" w14:textId="77777777" w:rsidTr="00B3799F">
        <w:trPr>
          <w:trHeight w:val="1454"/>
        </w:trPr>
        <w:tc>
          <w:tcPr>
            <w:tcW w:w="5000" w:type="pct"/>
          </w:tcPr>
          <w:p w14:paraId="7D84B789" w14:textId="77777777" w:rsidR="005F4525" w:rsidRDefault="005F4525" w:rsidP="005F4525">
            <w:pPr>
              <w:pStyle w:val="ListParagraph"/>
              <w:ind w:left="0"/>
              <w:rPr>
                <w:lang w:eastAsia="en-GB"/>
              </w:rPr>
            </w:pPr>
          </w:p>
        </w:tc>
      </w:tr>
    </w:tbl>
    <w:p w14:paraId="03660D17" w14:textId="0D7A47E7" w:rsidR="005F4525" w:rsidRDefault="00575AE5" w:rsidP="001A2325">
      <w:pPr>
        <w:pStyle w:val="ListParagraph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>Should</w:t>
      </w:r>
      <w:r w:rsidR="001A2325">
        <w:rPr>
          <w:lang w:eastAsia="en-GB"/>
        </w:rPr>
        <w:t xml:space="preserve"> the DSOs define </w:t>
      </w:r>
      <w:r>
        <w:rPr>
          <w:lang w:eastAsia="en-GB"/>
        </w:rPr>
        <w:t xml:space="preserve">provide new customer contracts enabling </w:t>
      </w:r>
      <w:r w:rsidR="001A2325">
        <w:rPr>
          <w:lang w:eastAsia="en-GB"/>
        </w:rPr>
        <w:t xml:space="preserve">BESSs </w:t>
      </w:r>
      <w:r>
        <w:rPr>
          <w:lang w:eastAsia="en-GB"/>
        </w:rPr>
        <w:t>to support delay or avoidance of</w:t>
      </w:r>
      <w:r w:rsidR="001A2325">
        <w:rPr>
          <w:lang w:eastAsia="en-GB"/>
        </w:rPr>
        <w:t>f infrast</w:t>
      </w:r>
      <w:r>
        <w:rPr>
          <w:lang w:eastAsia="en-GB"/>
        </w:rPr>
        <w:t>ructure reinforcement</w:t>
      </w:r>
      <w:r w:rsidR="001A2325">
        <w:rPr>
          <w:lang w:eastAsia="en-GB"/>
        </w:rPr>
        <w:t xml:space="preserve">? </w:t>
      </w:r>
      <w:r w:rsidR="0043392F">
        <w:rPr>
          <w:lang w:eastAsia="en-GB"/>
        </w:rPr>
        <w:t xml:space="preserve">What would be the </w:t>
      </w:r>
      <w:r w:rsidR="002F408F">
        <w:rPr>
          <w:lang w:eastAsia="en-GB"/>
        </w:rPr>
        <w:t>b</w:t>
      </w:r>
      <w:r w:rsidR="0043392F">
        <w:rPr>
          <w:lang w:eastAsia="en-GB"/>
        </w:rPr>
        <w:t xml:space="preserve">est approach to do so?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A2325" w14:paraId="50C6002E" w14:textId="77777777" w:rsidTr="00B3799F">
        <w:trPr>
          <w:trHeight w:val="2074"/>
        </w:trPr>
        <w:tc>
          <w:tcPr>
            <w:tcW w:w="5000" w:type="pct"/>
          </w:tcPr>
          <w:p w14:paraId="4F2B721F" w14:textId="77777777" w:rsidR="001A2325" w:rsidRDefault="001A2325" w:rsidP="001A2325">
            <w:pPr>
              <w:rPr>
                <w:lang w:eastAsia="en-GB"/>
              </w:rPr>
            </w:pPr>
          </w:p>
        </w:tc>
      </w:tr>
    </w:tbl>
    <w:p w14:paraId="5F2CCDB4" w14:textId="160009F1" w:rsidR="000A044F" w:rsidRDefault="000A044F" w:rsidP="000A044F">
      <w:pPr>
        <w:pStyle w:val="ListParagraph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>How the competitive/conflicting behaviour</w:t>
      </w:r>
      <w:r>
        <w:rPr>
          <w:rStyle w:val="FootnoteReference"/>
          <w:lang w:eastAsia="en-GB"/>
        </w:rPr>
        <w:footnoteReference w:id="19"/>
      </w:r>
      <w:r>
        <w:rPr>
          <w:lang w:eastAsia="en-GB"/>
        </w:rPr>
        <w:t xml:space="preserve">/services by different actors (electricity end-users, prosumers, </w:t>
      </w:r>
      <w:proofErr w:type="gramStart"/>
      <w:r>
        <w:rPr>
          <w:lang w:eastAsia="en-GB"/>
        </w:rPr>
        <w:t>energy</w:t>
      </w:r>
      <w:proofErr w:type="gramEnd"/>
      <w:r>
        <w:rPr>
          <w:lang w:eastAsia="en-GB"/>
        </w:rPr>
        <w:t xml:space="preserve"> communities) can be managed in the distribution level to avoid system overloading and guarantee the </w:t>
      </w:r>
      <w:proofErr w:type="spellStart"/>
      <w:r>
        <w:rPr>
          <w:lang w:eastAsia="en-GB"/>
        </w:rPr>
        <w:t>deleivery</w:t>
      </w:r>
      <w:proofErr w:type="spellEnd"/>
      <w:r>
        <w:rPr>
          <w:lang w:eastAsia="en-GB"/>
        </w:rPr>
        <w:t xml:space="preserve"> of the required services?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0A044F" w14:paraId="19BAAF9C" w14:textId="77777777" w:rsidTr="000A044F">
        <w:trPr>
          <w:trHeight w:val="1835"/>
        </w:trPr>
        <w:tc>
          <w:tcPr>
            <w:tcW w:w="5000" w:type="pct"/>
          </w:tcPr>
          <w:p w14:paraId="466131A7" w14:textId="77777777" w:rsidR="000A044F" w:rsidRDefault="000A044F" w:rsidP="000A044F">
            <w:pPr>
              <w:pStyle w:val="ListParagraph"/>
              <w:ind w:left="0"/>
              <w:rPr>
                <w:lang w:eastAsia="en-GB"/>
              </w:rPr>
            </w:pPr>
          </w:p>
        </w:tc>
      </w:tr>
    </w:tbl>
    <w:p w14:paraId="16F8A53A" w14:textId="77777777" w:rsidR="000A044F" w:rsidRDefault="000A044F" w:rsidP="00EF28C4">
      <w:pPr>
        <w:pStyle w:val="ListParagraph"/>
        <w:ind w:left="0"/>
        <w:rPr>
          <w:lang w:eastAsia="en-GB"/>
        </w:rPr>
      </w:pPr>
    </w:p>
    <w:sectPr w:rsidR="000A044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BBB8" w16cex:dateUtc="2022-03-24T09:43:00Z"/>
  <w16cex:commentExtensible w16cex:durableId="25E6BC16" w16cex:dateUtc="2022-03-24T09:44:00Z"/>
  <w16cex:commentExtensible w16cex:durableId="25E6BB62" w16cex:dateUtc="2022-03-24T09:41:00Z"/>
  <w16cex:commentExtensible w16cex:durableId="25E6BC65" w16cex:dateUtc="2022-03-24T09:46:00Z"/>
  <w16cex:commentExtensible w16cex:durableId="25E6BCA7" w16cex:dateUtc="2022-03-24T09:47:00Z"/>
  <w16cex:commentExtensible w16cex:durableId="25E6BCF4" w16cex:dateUtc="2022-03-24T09:48:00Z"/>
  <w16cex:commentExtensible w16cex:durableId="25E6BD82" w16cex:dateUtc="2022-03-24T09:50:00Z"/>
  <w16cex:commentExtensible w16cex:durableId="25E6BDE5" w16cex:dateUtc="2022-03-24T09:52:00Z"/>
  <w16cex:commentExtensible w16cex:durableId="25E6BDBF" w16cex:dateUtc="2022-03-24T09:51:00Z"/>
  <w16cex:commentExtensible w16cex:durableId="25E6BE7E" w16cex:dateUtc="2022-03-24T09:55:00Z"/>
  <w16cex:commentExtensible w16cex:durableId="25E6BE1C" w16cex:dateUtc="2022-03-24T09:53:00Z"/>
  <w16cex:commentExtensible w16cex:durableId="25E6BEB0" w16cex:dateUtc="2022-03-24T09:56:00Z"/>
  <w16cex:commentExtensible w16cex:durableId="25E6BF06" w16cex:dateUtc="2022-03-24T09:57:00Z"/>
  <w16cex:commentExtensible w16cex:durableId="25E6BF4B" w16cex:dateUtc="2022-03-24T09:58:00Z"/>
  <w16cex:commentExtensible w16cex:durableId="25E6C2B8" w16cex:dateUtc="2022-03-24T10:13:00Z"/>
  <w16cex:commentExtensible w16cex:durableId="25E6C2C8" w16cex:dateUtc="2022-03-24T10:13:00Z"/>
  <w16cex:commentExtensible w16cex:durableId="25E6C636" w16cex:dateUtc="2022-03-24T10:28:00Z"/>
  <w16cex:commentExtensible w16cex:durableId="25E6C674" w16cex:dateUtc="2022-03-24T10:29:00Z"/>
  <w16cex:commentExtensible w16cex:durableId="25E6C80F" w16cex:dateUtc="2022-03-24T10:35:00Z"/>
  <w16cex:commentExtensible w16cex:durableId="25E6C96D" w16cex:dateUtc="2022-03-24T10:41:00Z"/>
  <w16cex:commentExtensible w16cex:durableId="25E6CA64" w16cex:dateUtc="2022-03-24T10:45:00Z"/>
  <w16cex:commentExtensible w16cex:durableId="25E6CFBF" w16cex:dateUtc="2022-03-24T11:08:00Z"/>
  <w16cex:commentExtensible w16cex:durableId="25E6D071" w16cex:dateUtc="2022-03-24T11:11:00Z"/>
  <w16cex:commentExtensible w16cex:durableId="25E6D0B3" w16cex:dateUtc="2022-03-24T11:12:00Z"/>
  <w16cex:commentExtensible w16cex:durableId="25E6D135" w16cex:dateUtc="2022-03-24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62A71E" w16cid:durableId="25E6BBB8"/>
  <w16cid:commentId w16cid:paraId="19C02001" w16cid:durableId="25E6BC16"/>
  <w16cid:commentId w16cid:paraId="449D9ACE" w16cid:durableId="25E6BB62"/>
  <w16cid:commentId w16cid:paraId="7A93D2F9" w16cid:durableId="25E6BC65"/>
  <w16cid:commentId w16cid:paraId="7C688067" w16cid:durableId="25E6BCA7"/>
  <w16cid:commentId w16cid:paraId="377F1827" w16cid:durableId="25E6BCF4"/>
  <w16cid:commentId w16cid:paraId="5E752760" w16cid:durableId="25E6BD82"/>
  <w16cid:commentId w16cid:paraId="1F184577" w16cid:durableId="25E6BDE5"/>
  <w16cid:commentId w16cid:paraId="45D9F2DB" w16cid:durableId="25E6BDBF"/>
  <w16cid:commentId w16cid:paraId="6F2AB2BC" w16cid:durableId="25E6BE7E"/>
  <w16cid:commentId w16cid:paraId="263A1050" w16cid:durableId="25E6BE1C"/>
  <w16cid:commentId w16cid:paraId="30942E05" w16cid:durableId="25E6BEB0"/>
  <w16cid:commentId w16cid:paraId="36B49C47" w16cid:durableId="25E6BF06"/>
  <w16cid:commentId w16cid:paraId="7A4BDCF0" w16cid:durableId="25E6BF4B"/>
  <w16cid:commentId w16cid:paraId="78762C05" w16cid:durableId="25E6C2B8"/>
  <w16cid:commentId w16cid:paraId="0E946F58" w16cid:durableId="25E6C2C8"/>
  <w16cid:commentId w16cid:paraId="0336EC13" w16cid:durableId="25E6C636"/>
  <w16cid:commentId w16cid:paraId="17D1C309" w16cid:durableId="25E6C674"/>
  <w16cid:commentId w16cid:paraId="5428BCD9" w16cid:durableId="25E6C80F"/>
  <w16cid:commentId w16cid:paraId="1ECD4241" w16cid:durableId="25E6C96D"/>
  <w16cid:commentId w16cid:paraId="62C7ABDC" w16cid:durableId="25E6CA64"/>
  <w16cid:commentId w16cid:paraId="5B1389D6" w16cid:durableId="25E6CFBF"/>
  <w16cid:commentId w16cid:paraId="1F5B30E7" w16cid:durableId="25E6D071"/>
  <w16cid:commentId w16cid:paraId="0D799008" w16cid:durableId="25E6D0B3"/>
  <w16cid:commentId w16cid:paraId="2B35C450" w16cid:durableId="25E6D1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A6A9B" w14:textId="77777777" w:rsidR="00252DA1" w:rsidRDefault="00252DA1" w:rsidP="00C10572">
      <w:r>
        <w:separator/>
      </w:r>
    </w:p>
  </w:endnote>
  <w:endnote w:type="continuationSeparator" w:id="0">
    <w:p w14:paraId="23748B40" w14:textId="77777777" w:rsidR="00252DA1" w:rsidRDefault="00252DA1" w:rsidP="00C1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1DA86" w14:textId="77777777" w:rsidR="00252DA1" w:rsidRDefault="00252DA1" w:rsidP="00C10572">
      <w:r>
        <w:separator/>
      </w:r>
    </w:p>
  </w:footnote>
  <w:footnote w:type="continuationSeparator" w:id="0">
    <w:p w14:paraId="3B075BCB" w14:textId="77777777" w:rsidR="00252DA1" w:rsidRDefault="00252DA1" w:rsidP="00C10572">
      <w:r>
        <w:continuationSeparator/>
      </w:r>
    </w:p>
  </w:footnote>
  <w:footnote w:id="1">
    <w:p w14:paraId="392CB589" w14:textId="0A3C4C39" w:rsidR="004723F5" w:rsidRPr="004723F5" w:rsidRDefault="004723F5" w:rsidP="004723F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4723F5">
        <w:rPr>
          <w:sz w:val="16"/>
          <w:szCs w:val="16"/>
        </w:rPr>
        <w:t>Ireland, G</w:t>
      </w:r>
      <w:r>
        <w:rPr>
          <w:sz w:val="16"/>
          <w:szCs w:val="16"/>
        </w:rPr>
        <w:t>overnment of Ireland,</w:t>
      </w:r>
      <w:r w:rsidRPr="004723F5">
        <w:rPr>
          <w:sz w:val="16"/>
          <w:szCs w:val="16"/>
        </w:rPr>
        <w:t xml:space="preserve"> Climate Action Plan 2021, Securing Our Future. </w:t>
      </w:r>
      <w:proofErr w:type="gramStart"/>
      <w:r w:rsidRPr="004723F5">
        <w:rPr>
          <w:sz w:val="16"/>
          <w:szCs w:val="16"/>
        </w:rPr>
        <w:t>2021  [</w:t>
      </w:r>
      <w:proofErr w:type="gramEnd"/>
      <w:r w:rsidRPr="004723F5">
        <w:rPr>
          <w:sz w:val="16"/>
          <w:szCs w:val="16"/>
        </w:rPr>
        <w:t>Available from: https://www.gov.ie/en/publication/6223e-climate-action-plan-2021/.</w:t>
      </w:r>
    </w:p>
  </w:footnote>
  <w:footnote w:id="2">
    <w:p w14:paraId="734D8B0C" w14:textId="5FA6B018" w:rsidR="000823CB" w:rsidRPr="000823CB" w:rsidRDefault="000823C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823CB">
        <w:rPr>
          <w:sz w:val="16"/>
          <w:szCs w:val="16"/>
          <w:lang w:val="en-GB"/>
        </w:rPr>
        <w:t>Please see section</w:t>
      </w:r>
      <w:r>
        <w:rPr>
          <w:sz w:val="16"/>
          <w:szCs w:val="16"/>
          <w:lang w:val="en-GB"/>
        </w:rPr>
        <w:t>s 4.8 and</w:t>
      </w:r>
      <w:r w:rsidRPr="000823CB">
        <w:rPr>
          <w:sz w:val="16"/>
          <w:szCs w:val="16"/>
          <w:lang w:val="en-GB"/>
        </w:rPr>
        <w:t xml:space="preserve"> 4.10.3 of the report for more information</w:t>
      </w:r>
    </w:p>
  </w:footnote>
  <w:footnote w:id="3">
    <w:p w14:paraId="137BC3F5" w14:textId="3D7C929C" w:rsidR="000823CB" w:rsidRPr="000823CB" w:rsidRDefault="000823CB" w:rsidP="000823C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823CB">
        <w:rPr>
          <w:sz w:val="16"/>
          <w:szCs w:val="16"/>
          <w:lang w:val="en-GB"/>
        </w:rPr>
        <w:t>Please see section</w:t>
      </w:r>
      <w:r>
        <w:rPr>
          <w:sz w:val="16"/>
          <w:szCs w:val="16"/>
          <w:lang w:val="en-GB"/>
        </w:rPr>
        <w:t>s</w:t>
      </w:r>
      <w:r w:rsidRPr="000823CB">
        <w:rPr>
          <w:sz w:val="16"/>
          <w:szCs w:val="16"/>
          <w:lang w:val="en-GB"/>
        </w:rPr>
        <w:t xml:space="preserve"> 4.10.</w:t>
      </w:r>
      <w:r>
        <w:rPr>
          <w:sz w:val="16"/>
          <w:szCs w:val="16"/>
          <w:lang w:val="en-GB"/>
        </w:rPr>
        <w:t>10 and 9.1</w:t>
      </w:r>
      <w:r w:rsidRPr="000823CB">
        <w:rPr>
          <w:sz w:val="16"/>
          <w:szCs w:val="16"/>
          <w:lang w:val="en-GB"/>
        </w:rPr>
        <w:t xml:space="preserve"> of the report for more information</w:t>
      </w:r>
    </w:p>
  </w:footnote>
  <w:footnote w:id="4">
    <w:p w14:paraId="43C09DD8" w14:textId="4535BFCC" w:rsidR="000823CB" w:rsidRPr="000823CB" w:rsidRDefault="000823CB" w:rsidP="000823C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823CB">
        <w:rPr>
          <w:sz w:val="16"/>
          <w:szCs w:val="16"/>
          <w:lang w:val="en-GB"/>
        </w:rPr>
        <w:t>Please see section</w:t>
      </w:r>
      <w:r>
        <w:rPr>
          <w:sz w:val="16"/>
          <w:szCs w:val="16"/>
          <w:lang w:val="en-GB"/>
        </w:rPr>
        <w:t>s</w:t>
      </w:r>
      <w:r w:rsidRPr="000823CB">
        <w:rPr>
          <w:sz w:val="16"/>
          <w:szCs w:val="16"/>
          <w:lang w:val="en-GB"/>
        </w:rPr>
        <w:t xml:space="preserve"> 4.10.</w:t>
      </w:r>
      <w:r>
        <w:rPr>
          <w:sz w:val="16"/>
          <w:szCs w:val="16"/>
          <w:lang w:val="en-GB"/>
        </w:rPr>
        <w:t>12</w:t>
      </w:r>
      <w:r w:rsidRPr="000823CB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 xml:space="preserve">and 9.3 </w:t>
      </w:r>
      <w:r w:rsidRPr="000823CB">
        <w:rPr>
          <w:sz w:val="16"/>
          <w:szCs w:val="16"/>
          <w:lang w:val="en-GB"/>
        </w:rPr>
        <w:t>of the report for more information</w:t>
      </w:r>
    </w:p>
  </w:footnote>
  <w:footnote w:id="5">
    <w:p w14:paraId="3F675D98" w14:textId="16B73575" w:rsidR="000823CB" w:rsidRPr="000823CB" w:rsidRDefault="000823CB" w:rsidP="000823C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823CB">
        <w:rPr>
          <w:sz w:val="16"/>
          <w:szCs w:val="16"/>
          <w:lang w:val="en-GB"/>
        </w:rPr>
        <w:t>Please see section</w:t>
      </w:r>
      <w:r>
        <w:rPr>
          <w:sz w:val="16"/>
          <w:szCs w:val="16"/>
          <w:lang w:val="en-GB"/>
        </w:rPr>
        <w:t>s</w:t>
      </w:r>
      <w:r w:rsidRPr="000823CB">
        <w:rPr>
          <w:sz w:val="16"/>
          <w:szCs w:val="16"/>
          <w:lang w:val="en-GB"/>
        </w:rPr>
        <w:t xml:space="preserve"> 4.</w:t>
      </w:r>
      <w:r>
        <w:rPr>
          <w:sz w:val="16"/>
          <w:szCs w:val="16"/>
          <w:lang w:val="en-GB"/>
        </w:rPr>
        <w:t>6</w:t>
      </w:r>
      <w:r w:rsidRPr="000823CB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 xml:space="preserve">and 9.4 </w:t>
      </w:r>
      <w:r w:rsidRPr="000823CB">
        <w:rPr>
          <w:sz w:val="16"/>
          <w:szCs w:val="16"/>
          <w:lang w:val="en-GB"/>
        </w:rPr>
        <w:t>of the report for more information</w:t>
      </w:r>
    </w:p>
  </w:footnote>
  <w:footnote w:id="6">
    <w:p w14:paraId="30EE585A" w14:textId="064711ED" w:rsidR="004F0B6D" w:rsidRPr="00462456" w:rsidRDefault="004F0B6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823CB">
        <w:rPr>
          <w:sz w:val="16"/>
          <w:szCs w:val="16"/>
          <w:lang w:val="en-GB"/>
        </w:rPr>
        <w:t>System non-synchronous penetration</w:t>
      </w:r>
      <w:r>
        <w:rPr>
          <w:lang w:val="en-GB"/>
        </w:rPr>
        <w:t xml:space="preserve"> </w:t>
      </w:r>
    </w:p>
  </w:footnote>
  <w:footnote w:id="7">
    <w:p w14:paraId="088C7F66" w14:textId="7B32836B" w:rsidR="000823CB" w:rsidRPr="000823CB" w:rsidRDefault="000823CB" w:rsidP="000823C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823CB">
        <w:rPr>
          <w:sz w:val="16"/>
          <w:szCs w:val="16"/>
          <w:lang w:val="en-GB"/>
        </w:rPr>
        <w:t>Please see section</w:t>
      </w:r>
      <w:r w:rsidR="00515894">
        <w:rPr>
          <w:sz w:val="16"/>
          <w:szCs w:val="16"/>
          <w:lang w:val="en-GB"/>
        </w:rPr>
        <w:t>s</w:t>
      </w:r>
      <w:r w:rsidRPr="000823CB">
        <w:rPr>
          <w:sz w:val="16"/>
          <w:szCs w:val="16"/>
          <w:lang w:val="en-GB"/>
        </w:rPr>
        <w:t xml:space="preserve"> 4.10.</w:t>
      </w:r>
      <w:r>
        <w:rPr>
          <w:sz w:val="16"/>
          <w:szCs w:val="16"/>
          <w:lang w:val="en-GB"/>
        </w:rPr>
        <w:t>20</w:t>
      </w:r>
      <w:r w:rsidR="00515894">
        <w:rPr>
          <w:sz w:val="16"/>
          <w:szCs w:val="16"/>
          <w:lang w:val="en-GB"/>
        </w:rPr>
        <w:t xml:space="preserve"> and 9.12</w:t>
      </w:r>
      <w:r w:rsidRPr="000823CB">
        <w:rPr>
          <w:sz w:val="16"/>
          <w:szCs w:val="16"/>
          <w:lang w:val="en-GB"/>
        </w:rPr>
        <w:t xml:space="preserve"> of the report for more information</w:t>
      </w:r>
    </w:p>
  </w:footnote>
  <w:footnote w:id="8">
    <w:p w14:paraId="1DC7A7D7" w14:textId="30663CB2" w:rsidR="000823CB" w:rsidRPr="000823CB" w:rsidRDefault="000823CB" w:rsidP="000823C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823CB">
        <w:rPr>
          <w:sz w:val="16"/>
          <w:szCs w:val="16"/>
          <w:lang w:val="en-GB"/>
        </w:rPr>
        <w:t>Please see section</w:t>
      </w:r>
      <w:r>
        <w:rPr>
          <w:sz w:val="16"/>
          <w:szCs w:val="16"/>
          <w:lang w:val="en-GB"/>
        </w:rPr>
        <w:t>s</w:t>
      </w:r>
      <w:r w:rsidRPr="000823CB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5</w:t>
      </w:r>
      <w:r w:rsidRPr="000823CB">
        <w:rPr>
          <w:sz w:val="16"/>
          <w:szCs w:val="16"/>
          <w:lang w:val="en-GB"/>
        </w:rPr>
        <w:t>.1.</w:t>
      </w:r>
      <w:r>
        <w:rPr>
          <w:sz w:val="16"/>
          <w:szCs w:val="16"/>
          <w:lang w:val="en-GB"/>
        </w:rPr>
        <w:t>2 and 9.5</w:t>
      </w:r>
      <w:r w:rsidRPr="000823CB">
        <w:rPr>
          <w:sz w:val="16"/>
          <w:szCs w:val="16"/>
          <w:lang w:val="en-GB"/>
        </w:rPr>
        <w:t xml:space="preserve"> of the report for more information</w:t>
      </w:r>
    </w:p>
  </w:footnote>
  <w:footnote w:id="9">
    <w:p w14:paraId="1C680151" w14:textId="504FD0EC" w:rsidR="00515894" w:rsidRPr="00515894" w:rsidRDefault="00515894" w:rsidP="0051589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823CB">
        <w:rPr>
          <w:sz w:val="16"/>
          <w:szCs w:val="16"/>
          <w:lang w:val="en-GB"/>
        </w:rPr>
        <w:t>Please see section</w:t>
      </w:r>
      <w:r>
        <w:rPr>
          <w:sz w:val="16"/>
          <w:szCs w:val="16"/>
          <w:lang w:val="en-GB"/>
        </w:rPr>
        <w:t>s</w:t>
      </w:r>
      <w:r w:rsidRPr="000823CB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8.7 and 10.2</w:t>
      </w:r>
      <w:r w:rsidRPr="000823CB">
        <w:rPr>
          <w:sz w:val="16"/>
          <w:szCs w:val="16"/>
          <w:lang w:val="en-GB"/>
        </w:rPr>
        <w:t>.</w:t>
      </w:r>
      <w:r>
        <w:rPr>
          <w:sz w:val="16"/>
          <w:szCs w:val="16"/>
          <w:lang w:val="en-GB"/>
        </w:rPr>
        <w:t xml:space="preserve">1 </w:t>
      </w:r>
      <w:r w:rsidRPr="000823CB">
        <w:rPr>
          <w:sz w:val="16"/>
          <w:szCs w:val="16"/>
          <w:lang w:val="en-GB"/>
        </w:rPr>
        <w:t>of the report for more information</w:t>
      </w:r>
      <w:r>
        <w:t xml:space="preserve"> </w:t>
      </w:r>
    </w:p>
  </w:footnote>
  <w:footnote w:id="10">
    <w:p w14:paraId="169F8132" w14:textId="00347BE0" w:rsidR="00515894" w:rsidRPr="00515894" w:rsidRDefault="0051589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823CB">
        <w:rPr>
          <w:sz w:val="16"/>
          <w:szCs w:val="16"/>
          <w:lang w:val="en-GB"/>
        </w:rPr>
        <w:t>Please see section</w:t>
      </w:r>
      <w:r>
        <w:rPr>
          <w:sz w:val="16"/>
          <w:szCs w:val="16"/>
          <w:lang w:val="en-GB"/>
        </w:rPr>
        <w:t>s</w:t>
      </w:r>
      <w:r w:rsidRPr="000823CB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8.7 and 10.2</w:t>
      </w:r>
      <w:r w:rsidRPr="000823CB">
        <w:rPr>
          <w:sz w:val="16"/>
          <w:szCs w:val="16"/>
          <w:lang w:val="en-GB"/>
        </w:rPr>
        <w:t>.</w:t>
      </w:r>
      <w:r>
        <w:rPr>
          <w:sz w:val="16"/>
          <w:szCs w:val="16"/>
          <w:lang w:val="en-GB"/>
        </w:rPr>
        <w:t xml:space="preserve">1 </w:t>
      </w:r>
      <w:r w:rsidRPr="000823CB">
        <w:rPr>
          <w:sz w:val="16"/>
          <w:szCs w:val="16"/>
          <w:lang w:val="en-GB"/>
        </w:rPr>
        <w:t>of the report for more information</w:t>
      </w:r>
    </w:p>
  </w:footnote>
  <w:footnote w:id="11">
    <w:p w14:paraId="67B19E19" w14:textId="1676CFCB" w:rsidR="00515894" w:rsidRPr="00515894" w:rsidRDefault="0051589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823CB">
        <w:rPr>
          <w:sz w:val="16"/>
          <w:szCs w:val="16"/>
          <w:lang w:val="en-GB"/>
        </w:rPr>
        <w:t>Please see section</w:t>
      </w:r>
      <w:r>
        <w:rPr>
          <w:sz w:val="16"/>
          <w:szCs w:val="16"/>
          <w:lang w:val="en-GB"/>
        </w:rPr>
        <w:t>s</w:t>
      </w:r>
      <w:r w:rsidRPr="000823CB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8.7 and 10.2</w:t>
      </w:r>
      <w:r w:rsidRPr="000823CB">
        <w:rPr>
          <w:sz w:val="16"/>
          <w:szCs w:val="16"/>
          <w:lang w:val="en-GB"/>
        </w:rPr>
        <w:t>.</w:t>
      </w:r>
      <w:r>
        <w:rPr>
          <w:sz w:val="16"/>
          <w:szCs w:val="16"/>
          <w:lang w:val="en-GB"/>
        </w:rPr>
        <w:t xml:space="preserve">1 </w:t>
      </w:r>
      <w:r w:rsidRPr="000823CB">
        <w:rPr>
          <w:sz w:val="16"/>
          <w:szCs w:val="16"/>
          <w:lang w:val="en-GB"/>
        </w:rPr>
        <w:t>of the report for more information</w:t>
      </w:r>
    </w:p>
  </w:footnote>
  <w:footnote w:id="12">
    <w:p w14:paraId="78CA2475" w14:textId="1BED205A" w:rsidR="00515894" w:rsidRPr="00515894" w:rsidRDefault="00515894" w:rsidP="0051589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823CB">
        <w:rPr>
          <w:sz w:val="16"/>
          <w:szCs w:val="16"/>
          <w:lang w:val="en-GB"/>
        </w:rPr>
        <w:t>Please see section</w:t>
      </w:r>
      <w:r>
        <w:rPr>
          <w:sz w:val="16"/>
          <w:szCs w:val="16"/>
          <w:lang w:val="en-GB"/>
        </w:rPr>
        <w:t xml:space="preserve"> 9.12 </w:t>
      </w:r>
      <w:r w:rsidRPr="000823CB">
        <w:rPr>
          <w:sz w:val="16"/>
          <w:szCs w:val="16"/>
          <w:lang w:val="en-GB"/>
        </w:rPr>
        <w:t>of the report for more information</w:t>
      </w:r>
    </w:p>
  </w:footnote>
  <w:footnote w:id="13">
    <w:p w14:paraId="6806DD14" w14:textId="18DE09AC" w:rsidR="00515894" w:rsidRPr="00515894" w:rsidRDefault="00515894" w:rsidP="0051589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823CB">
        <w:rPr>
          <w:sz w:val="16"/>
          <w:szCs w:val="16"/>
          <w:lang w:val="en-GB"/>
        </w:rPr>
        <w:t>Please see section</w:t>
      </w:r>
      <w:r>
        <w:rPr>
          <w:sz w:val="16"/>
          <w:szCs w:val="16"/>
          <w:lang w:val="en-GB"/>
        </w:rPr>
        <w:t xml:space="preserve"> 5.2 </w:t>
      </w:r>
      <w:r w:rsidRPr="000823CB">
        <w:rPr>
          <w:sz w:val="16"/>
          <w:szCs w:val="16"/>
          <w:lang w:val="en-GB"/>
        </w:rPr>
        <w:t>of the report for more information</w:t>
      </w:r>
    </w:p>
    <w:p w14:paraId="4252C2D5" w14:textId="08106CEF" w:rsidR="00515894" w:rsidRPr="00515894" w:rsidRDefault="00515894">
      <w:pPr>
        <w:pStyle w:val="FootnoteText"/>
        <w:rPr>
          <w:lang w:val="en-GB"/>
        </w:rPr>
      </w:pPr>
    </w:p>
  </w:footnote>
  <w:footnote w:id="14">
    <w:p w14:paraId="6793A73C" w14:textId="30023D23" w:rsidR="00F95B12" w:rsidRPr="00515894" w:rsidRDefault="00F95B12" w:rsidP="00322786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823CB">
        <w:rPr>
          <w:sz w:val="16"/>
          <w:szCs w:val="16"/>
          <w:lang w:val="en-GB"/>
        </w:rPr>
        <w:t>Please see section</w:t>
      </w:r>
      <w:r>
        <w:rPr>
          <w:sz w:val="16"/>
          <w:szCs w:val="16"/>
          <w:lang w:val="en-GB"/>
        </w:rPr>
        <w:t xml:space="preserve"> 5.1.3.1 </w:t>
      </w:r>
      <w:r w:rsidRPr="000823CB">
        <w:rPr>
          <w:sz w:val="16"/>
          <w:szCs w:val="16"/>
          <w:lang w:val="en-GB"/>
        </w:rPr>
        <w:t>of the report for more information</w:t>
      </w:r>
      <w:r w:rsidR="00322786">
        <w:rPr>
          <w:sz w:val="16"/>
          <w:szCs w:val="16"/>
          <w:lang w:val="en-GB"/>
        </w:rPr>
        <w:t xml:space="preserve"> (Page 94</w:t>
      </w:r>
      <w:r w:rsidR="00976E5C">
        <w:rPr>
          <w:sz w:val="16"/>
          <w:szCs w:val="16"/>
          <w:lang w:val="en-GB"/>
        </w:rPr>
        <w:t>)</w:t>
      </w:r>
    </w:p>
    <w:p w14:paraId="61842299" w14:textId="4342751D" w:rsidR="00F95B12" w:rsidRPr="00F95B12" w:rsidRDefault="00F95B12">
      <w:pPr>
        <w:pStyle w:val="FootnoteText"/>
        <w:rPr>
          <w:lang w:val="en-GB"/>
        </w:rPr>
      </w:pPr>
      <w:bookmarkStart w:id="0" w:name="_GoBack"/>
      <w:bookmarkEnd w:id="0"/>
    </w:p>
  </w:footnote>
  <w:footnote w:id="15">
    <w:p w14:paraId="78667618" w14:textId="53E9D4A7" w:rsidR="00F95B12" w:rsidRPr="00F95B12" w:rsidRDefault="00F95B12" w:rsidP="00F95B1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823CB">
        <w:rPr>
          <w:sz w:val="16"/>
          <w:szCs w:val="16"/>
          <w:lang w:val="en-GB"/>
        </w:rPr>
        <w:t>Please see section</w:t>
      </w:r>
      <w:r>
        <w:rPr>
          <w:sz w:val="16"/>
          <w:szCs w:val="16"/>
          <w:lang w:val="en-GB"/>
        </w:rPr>
        <w:t xml:space="preserve"> 9.12 </w:t>
      </w:r>
      <w:r w:rsidRPr="000823CB">
        <w:rPr>
          <w:sz w:val="16"/>
          <w:szCs w:val="16"/>
          <w:lang w:val="en-GB"/>
        </w:rPr>
        <w:t>of the report for more information</w:t>
      </w:r>
    </w:p>
  </w:footnote>
  <w:footnote w:id="16">
    <w:p w14:paraId="5A1B8BB4" w14:textId="5EA81EF4" w:rsidR="00F95B12" w:rsidRPr="00F95B12" w:rsidRDefault="00F95B12" w:rsidP="00F95B1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823CB">
        <w:rPr>
          <w:sz w:val="16"/>
          <w:szCs w:val="16"/>
          <w:lang w:val="en-GB"/>
        </w:rPr>
        <w:t>Please see section</w:t>
      </w:r>
      <w:r>
        <w:rPr>
          <w:sz w:val="16"/>
          <w:szCs w:val="16"/>
          <w:lang w:val="en-GB"/>
        </w:rPr>
        <w:t xml:space="preserve">s 4.10.17 and 9.8 </w:t>
      </w:r>
      <w:r w:rsidRPr="000823CB">
        <w:rPr>
          <w:sz w:val="16"/>
          <w:szCs w:val="16"/>
          <w:lang w:val="en-GB"/>
        </w:rPr>
        <w:t>of the report for more information</w:t>
      </w:r>
    </w:p>
  </w:footnote>
  <w:footnote w:id="17">
    <w:p w14:paraId="28106106" w14:textId="3D5872D4" w:rsidR="00F95B12" w:rsidRPr="00F95B12" w:rsidRDefault="00F95B12" w:rsidP="00F95B1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823CB">
        <w:rPr>
          <w:sz w:val="16"/>
          <w:szCs w:val="16"/>
          <w:lang w:val="en-GB"/>
        </w:rPr>
        <w:t>Please see section</w:t>
      </w:r>
      <w:r w:rsidR="0046557F">
        <w:rPr>
          <w:sz w:val="16"/>
          <w:szCs w:val="16"/>
          <w:lang w:val="en-GB"/>
        </w:rPr>
        <w:t>s</w:t>
      </w:r>
      <w:r>
        <w:rPr>
          <w:sz w:val="16"/>
          <w:szCs w:val="16"/>
          <w:lang w:val="en-GB"/>
        </w:rPr>
        <w:t xml:space="preserve"> 4.10.19 and </w:t>
      </w:r>
      <w:r w:rsidR="0046557F">
        <w:rPr>
          <w:sz w:val="16"/>
          <w:szCs w:val="16"/>
          <w:lang w:val="en-GB"/>
        </w:rPr>
        <w:t xml:space="preserve">9.9 </w:t>
      </w:r>
      <w:r w:rsidRPr="000823CB">
        <w:rPr>
          <w:sz w:val="16"/>
          <w:szCs w:val="16"/>
          <w:lang w:val="en-GB"/>
        </w:rPr>
        <w:t>of the report for more information</w:t>
      </w:r>
    </w:p>
  </w:footnote>
  <w:footnote w:id="18">
    <w:p w14:paraId="61ED5C3A" w14:textId="4B4C074F" w:rsidR="0046557F" w:rsidRPr="0046557F" w:rsidRDefault="0046557F" w:rsidP="0046557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823CB">
        <w:rPr>
          <w:sz w:val="16"/>
          <w:szCs w:val="16"/>
          <w:lang w:val="en-GB"/>
        </w:rPr>
        <w:t>Please see section</w:t>
      </w:r>
      <w:r>
        <w:rPr>
          <w:sz w:val="16"/>
          <w:szCs w:val="16"/>
          <w:lang w:val="en-GB"/>
        </w:rPr>
        <w:t xml:space="preserve">s 4.10.24, 9.11, 9.18, and 10.3.4 </w:t>
      </w:r>
      <w:r w:rsidRPr="000823CB">
        <w:rPr>
          <w:sz w:val="16"/>
          <w:szCs w:val="16"/>
          <w:lang w:val="en-GB"/>
        </w:rPr>
        <w:t>of the report for more information</w:t>
      </w:r>
    </w:p>
  </w:footnote>
  <w:footnote w:id="19">
    <w:p w14:paraId="0126EE9C" w14:textId="60A9B079" w:rsidR="000A044F" w:rsidRPr="000A044F" w:rsidRDefault="000A044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Consumption, production, storing, and production of electricity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012E0" w14:textId="77777777" w:rsidR="004F0B6D" w:rsidRDefault="004F0B6D" w:rsidP="00C10572">
    <w:pPr>
      <w:pStyle w:val="Header"/>
    </w:pPr>
    <w:r>
      <w:tab/>
    </w:r>
    <w:r>
      <w:tab/>
    </w:r>
    <w:r>
      <w:rPr>
        <w:noProof/>
        <w:lang w:val="en-GB" w:eastAsia="en-GB"/>
      </w:rPr>
      <w:drawing>
        <wp:inline distT="0" distB="0" distL="0" distR="0" wp14:anchorId="06EC9330" wp14:editId="3CD73F40">
          <wp:extent cx="1146556" cy="532103"/>
          <wp:effectExtent l="0" t="0" r="0" b="190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695" cy="548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A0E136" w14:textId="77777777" w:rsidR="004F0B6D" w:rsidRDefault="004F0B6D" w:rsidP="00C10572">
    <w:pPr>
      <w:pStyle w:val="Header"/>
    </w:pPr>
  </w:p>
  <w:p w14:paraId="71C84446" w14:textId="77777777" w:rsidR="004F0B6D" w:rsidRDefault="004F0B6D" w:rsidP="00C105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454C1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47956"/>
    <w:multiLevelType w:val="hybridMultilevel"/>
    <w:tmpl w:val="D52A634A"/>
    <w:lvl w:ilvl="0" w:tplc="16CE38A0">
      <w:start w:val="1"/>
      <w:numFmt w:val="decimal"/>
      <w:lvlText w:val="QCM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6B37"/>
    <w:multiLevelType w:val="hybridMultilevel"/>
    <w:tmpl w:val="6044A2AA"/>
    <w:lvl w:ilvl="0" w:tplc="BB24CD66">
      <w:start w:val="1"/>
      <w:numFmt w:val="decimal"/>
      <w:suff w:val="space"/>
      <w:lvlText w:val="Q%1CM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58A8"/>
    <w:multiLevelType w:val="hybridMultilevel"/>
    <w:tmpl w:val="F8883DA0"/>
    <w:lvl w:ilvl="0" w:tplc="7BC00B2E">
      <w:start w:val="1"/>
      <w:numFmt w:val="decimal"/>
      <w:suff w:val="space"/>
      <w:lvlText w:val="Q%1ESM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011D"/>
    <w:multiLevelType w:val="hybridMultilevel"/>
    <w:tmpl w:val="7FC62C6E"/>
    <w:lvl w:ilvl="0" w:tplc="C7E2A90C">
      <w:start w:val="1"/>
      <w:numFmt w:val="decimal"/>
      <w:suff w:val="space"/>
      <w:lvlText w:val="Q%1BM."/>
      <w:lvlJc w:val="left"/>
      <w:pPr>
        <w:ind w:left="0" w:firstLine="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A3420"/>
    <w:multiLevelType w:val="hybridMultilevel"/>
    <w:tmpl w:val="BED4470C"/>
    <w:lvl w:ilvl="0" w:tplc="D12E895A">
      <w:start w:val="5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06315"/>
    <w:multiLevelType w:val="hybridMultilevel"/>
    <w:tmpl w:val="D40A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33491"/>
    <w:multiLevelType w:val="hybridMultilevel"/>
    <w:tmpl w:val="B88C7516"/>
    <w:lvl w:ilvl="0" w:tplc="EA905466">
      <w:start w:val="1"/>
      <w:numFmt w:val="decimal"/>
      <w:lvlText w:val="Q%1GM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0694F"/>
    <w:multiLevelType w:val="hybridMultilevel"/>
    <w:tmpl w:val="E81AE122"/>
    <w:lvl w:ilvl="0" w:tplc="7A4C24DC">
      <w:start w:val="1"/>
      <w:numFmt w:val="decimal"/>
      <w:suff w:val="space"/>
      <w:lvlText w:val="Q%1DL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7822"/>
    <w:multiLevelType w:val="hybridMultilevel"/>
    <w:tmpl w:val="206E8248"/>
    <w:lvl w:ilvl="0" w:tplc="92E00370">
      <w:start w:val="1"/>
      <w:numFmt w:val="decimal"/>
      <w:suff w:val="space"/>
      <w:lvlText w:val="Q%1GM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F10B2"/>
    <w:multiLevelType w:val="hybridMultilevel"/>
    <w:tmpl w:val="17FC7586"/>
    <w:lvl w:ilvl="0" w:tplc="14FED55E">
      <w:start w:val="1"/>
      <w:numFmt w:val="decimal"/>
      <w:suff w:val="space"/>
      <w:lvlText w:val="Q%1TSO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13069"/>
    <w:multiLevelType w:val="hybridMultilevel"/>
    <w:tmpl w:val="60841466"/>
    <w:lvl w:ilvl="0" w:tplc="1128AB42">
      <w:start w:val="1"/>
      <w:numFmt w:val="decimal"/>
      <w:suff w:val="space"/>
      <w:lvlText w:val="Q%1GS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B3BD3"/>
    <w:multiLevelType w:val="hybridMultilevel"/>
    <w:tmpl w:val="AC84E110"/>
    <w:lvl w:ilvl="0" w:tplc="FA985A02">
      <w:start w:val="1"/>
      <w:numFmt w:val="decimal"/>
      <w:suff w:val="space"/>
      <w:lvlText w:val="Q%1TSO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80B08"/>
    <w:multiLevelType w:val="hybridMultilevel"/>
    <w:tmpl w:val="07FA76FE"/>
    <w:lvl w:ilvl="0" w:tplc="6ED688D6">
      <w:start w:val="1"/>
      <w:numFmt w:val="decimal"/>
      <w:suff w:val="space"/>
      <w:lvlText w:val="Q%1KAS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80178"/>
    <w:multiLevelType w:val="hybridMultilevel"/>
    <w:tmpl w:val="E6EEB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56046"/>
    <w:multiLevelType w:val="hybridMultilevel"/>
    <w:tmpl w:val="31E48704"/>
    <w:lvl w:ilvl="0" w:tplc="66DEC18C">
      <w:start w:val="1"/>
      <w:numFmt w:val="decimal"/>
      <w:lvlText w:val="Q%1ESM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737E9"/>
    <w:multiLevelType w:val="multilevel"/>
    <w:tmpl w:val="347A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F83DE9"/>
    <w:multiLevelType w:val="hybridMultilevel"/>
    <w:tmpl w:val="E6EEB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16FEF"/>
    <w:multiLevelType w:val="multilevel"/>
    <w:tmpl w:val="A964F73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284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C3311F2"/>
    <w:multiLevelType w:val="hybridMultilevel"/>
    <w:tmpl w:val="A3D819F4"/>
    <w:lvl w:ilvl="0" w:tplc="0C36BBDC">
      <w:start w:val="1"/>
      <w:numFmt w:val="decimal"/>
      <w:suff w:val="space"/>
      <w:lvlText w:val="Q%1EM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1"/>
  </w:num>
  <w:num w:numId="5">
    <w:abstractNumId w:val="2"/>
  </w:num>
  <w:num w:numId="6">
    <w:abstractNumId w:val="4"/>
  </w:num>
  <w:num w:numId="7">
    <w:abstractNumId w:val="19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15"/>
  </w:num>
  <w:num w:numId="13">
    <w:abstractNumId w:val="3"/>
  </w:num>
  <w:num w:numId="14">
    <w:abstractNumId w:val="0"/>
  </w:num>
  <w:num w:numId="15">
    <w:abstractNumId w:val="13"/>
  </w:num>
  <w:num w:numId="16">
    <w:abstractNumId w:val="7"/>
  </w:num>
  <w:num w:numId="17">
    <w:abstractNumId w:val="9"/>
  </w:num>
  <w:num w:numId="18">
    <w:abstractNumId w:val="10"/>
  </w:num>
  <w:num w:numId="19">
    <w:abstractNumId w:val="12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zMDcyMjQ3tTQyMjVW0lEKTi0uzszPAykwrAUApWDlAywAAAA="/>
  </w:docVars>
  <w:rsids>
    <w:rsidRoot w:val="002C54B2"/>
    <w:rsid w:val="00005488"/>
    <w:rsid w:val="000060EA"/>
    <w:rsid w:val="00046320"/>
    <w:rsid w:val="000621AA"/>
    <w:rsid w:val="000631F3"/>
    <w:rsid w:val="00063263"/>
    <w:rsid w:val="00073CA1"/>
    <w:rsid w:val="000823CB"/>
    <w:rsid w:val="00090C21"/>
    <w:rsid w:val="000A044F"/>
    <w:rsid w:val="000B61D9"/>
    <w:rsid w:val="000B649D"/>
    <w:rsid w:val="000C3C53"/>
    <w:rsid w:val="000C4516"/>
    <w:rsid w:val="000C6D38"/>
    <w:rsid w:val="000D16FC"/>
    <w:rsid w:val="000E18C3"/>
    <w:rsid w:val="000E3EB9"/>
    <w:rsid w:val="000F3A0A"/>
    <w:rsid w:val="00102A75"/>
    <w:rsid w:val="00122360"/>
    <w:rsid w:val="00137399"/>
    <w:rsid w:val="00140DAF"/>
    <w:rsid w:val="00161FE4"/>
    <w:rsid w:val="0017310F"/>
    <w:rsid w:val="001870E3"/>
    <w:rsid w:val="00193B74"/>
    <w:rsid w:val="00196252"/>
    <w:rsid w:val="001A2325"/>
    <w:rsid w:val="001B0599"/>
    <w:rsid w:val="001B6EDC"/>
    <w:rsid w:val="001C4FDD"/>
    <w:rsid w:val="001E28D2"/>
    <w:rsid w:val="001F0DC0"/>
    <w:rsid w:val="001F1AD7"/>
    <w:rsid w:val="001F703F"/>
    <w:rsid w:val="00201B32"/>
    <w:rsid w:val="002158F6"/>
    <w:rsid w:val="00224115"/>
    <w:rsid w:val="00227852"/>
    <w:rsid w:val="00231275"/>
    <w:rsid w:val="002419EE"/>
    <w:rsid w:val="0024200E"/>
    <w:rsid w:val="00252DA1"/>
    <w:rsid w:val="00275ACC"/>
    <w:rsid w:val="00276C36"/>
    <w:rsid w:val="00286EE8"/>
    <w:rsid w:val="00291978"/>
    <w:rsid w:val="002A77DB"/>
    <w:rsid w:val="002B3D2A"/>
    <w:rsid w:val="002C2E0C"/>
    <w:rsid w:val="002C54B2"/>
    <w:rsid w:val="002D1DC0"/>
    <w:rsid w:val="002E3862"/>
    <w:rsid w:val="002F06F1"/>
    <w:rsid w:val="002F366D"/>
    <w:rsid w:val="002F408F"/>
    <w:rsid w:val="002F72EF"/>
    <w:rsid w:val="002F7CD5"/>
    <w:rsid w:val="00322786"/>
    <w:rsid w:val="00391449"/>
    <w:rsid w:val="003F01BD"/>
    <w:rsid w:val="003F691D"/>
    <w:rsid w:val="0043392F"/>
    <w:rsid w:val="00436194"/>
    <w:rsid w:val="00443611"/>
    <w:rsid w:val="0044739D"/>
    <w:rsid w:val="00452746"/>
    <w:rsid w:val="00461553"/>
    <w:rsid w:val="00462456"/>
    <w:rsid w:val="0046557F"/>
    <w:rsid w:val="004723F5"/>
    <w:rsid w:val="00474B1A"/>
    <w:rsid w:val="004751DD"/>
    <w:rsid w:val="0049743F"/>
    <w:rsid w:val="004B2F57"/>
    <w:rsid w:val="004B6EC1"/>
    <w:rsid w:val="004E3960"/>
    <w:rsid w:val="004F0B6D"/>
    <w:rsid w:val="004F3154"/>
    <w:rsid w:val="0050016D"/>
    <w:rsid w:val="00502743"/>
    <w:rsid w:val="00513FB3"/>
    <w:rsid w:val="00515894"/>
    <w:rsid w:val="00521D35"/>
    <w:rsid w:val="00524A7E"/>
    <w:rsid w:val="005401A0"/>
    <w:rsid w:val="00555049"/>
    <w:rsid w:val="00561EA2"/>
    <w:rsid w:val="00562326"/>
    <w:rsid w:val="005639F2"/>
    <w:rsid w:val="00575AE5"/>
    <w:rsid w:val="00594808"/>
    <w:rsid w:val="00595A9C"/>
    <w:rsid w:val="005A4F23"/>
    <w:rsid w:val="005B0119"/>
    <w:rsid w:val="005D735C"/>
    <w:rsid w:val="005E71AB"/>
    <w:rsid w:val="005F4525"/>
    <w:rsid w:val="00617317"/>
    <w:rsid w:val="00636F84"/>
    <w:rsid w:val="006600CB"/>
    <w:rsid w:val="00670373"/>
    <w:rsid w:val="006B2F0C"/>
    <w:rsid w:val="006C1F03"/>
    <w:rsid w:val="006D316B"/>
    <w:rsid w:val="006E2D9A"/>
    <w:rsid w:val="006E6F0A"/>
    <w:rsid w:val="006F28B4"/>
    <w:rsid w:val="006F2D4A"/>
    <w:rsid w:val="00707521"/>
    <w:rsid w:val="00711B4A"/>
    <w:rsid w:val="007319EE"/>
    <w:rsid w:val="007410B7"/>
    <w:rsid w:val="00773076"/>
    <w:rsid w:val="00774811"/>
    <w:rsid w:val="00775696"/>
    <w:rsid w:val="007805B9"/>
    <w:rsid w:val="007A3DFC"/>
    <w:rsid w:val="007D10AC"/>
    <w:rsid w:val="007D33DF"/>
    <w:rsid w:val="007D3A0C"/>
    <w:rsid w:val="007E3D09"/>
    <w:rsid w:val="007E69B5"/>
    <w:rsid w:val="007F0F66"/>
    <w:rsid w:val="007F10F7"/>
    <w:rsid w:val="0080059C"/>
    <w:rsid w:val="00802436"/>
    <w:rsid w:val="00840BE5"/>
    <w:rsid w:val="008614FD"/>
    <w:rsid w:val="008967EA"/>
    <w:rsid w:val="008A2B06"/>
    <w:rsid w:val="008A4D14"/>
    <w:rsid w:val="008C6ED9"/>
    <w:rsid w:val="008D2F71"/>
    <w:rsid w:val="008D520E"/>
    <w:rsid w:val="008E0796"/>
    <w:rsid w:val="008E1238"/>
    <w:rsid w:val="008E6ADD"/>
    <w:rsid w:val="008F3487"/>
    <w:rsid w:val="008F5E11"/>
    <w:rsid w:val="00912141"/>
    <w:rsid w:val="0091583D"/>
    <w:rsid w:val="00916F2F"/>
    <w:rsid w:val="0092536D"/>
    <w:rsid w:val="0092AD2D"/>
    <w:rsid w:val="00930463"/>
    <w:rsid w:val="00932070"/>
    <w:rsid w:val="0094496D"/>
    <w:rsid w:val="00961DBB"/>
    <w:rsid w:val="00965174"/>
    <w:rsid w:val="00975F52"/>
    <w:rsid w:val="00976E5C"/>
    <w:rsid w:val="009A24B7"/>
    <w:rsid w:val="009F4FD1"/>
    <w:rsid w:val="00A0020B"/>
    <w:rsid w:val="00A0489D"/>
    <w:rsid w:val="00A12DBF"/>
    <w:rsid w:val="00A23162"/>
    <w:rsid w:val="00A53A0B"/>
    <w:rsid w:val="00A8476E"/>
    <w:rsid w:val="00A8483B"/>
    <w:rsid w:val="00AA685D"/>
    <w:rsid w:val="00AC7AB7"/>
    <w:rsid w:val="00AE0933"/>
    <w:rsid w:val="00B0003A"/>
    <w:rsid w:val="00B3799F"/>
    <w:rsid w:val="00B43BCC"/>
    <w:rsid w:val="00B44DFE"/>
    <w:rsid w:val="00B62F85"/>
    <w:rsid w:val="00BA0774"/>
    <w:rsid w:val="00BA1DB8"/>
    <w:rsid w:val="00BA7E94"/>
    <w:rsid w:val="00BB11E9"/>
    <w:rsid w:val="00BB36CC"/>
    <w:rsid w:val="00BD3F39"/>
    <w:rsid w:val="00BE412D"/>
    <w:rsid w:val="00BE5646"/>
    <w:rsid w:val="00BF46C6"/>
    <w:rsid w:val="00C02FA8"/>
    <w:rsid w:val="00C10572"/>
    <w:rsid w:val="00C25943"/>
    <w:rsid w:val="00C263F4"/>
    <w:rsid w:val="00C52126"/>
    <w:rsid w:val="00C77A02"/>
    <w:rsid w:val="00CB06F3"/>
    <w:rsid w:val="00CD785F"/>
    <w:rsid w:val="00CE15C0"/>
    <w:rsid w:val="00CE5974"/>
    <w:rsid w:val="00CE6E4A"/>
    <w:rsid w:val="00CF388B"/>
    <w:rsid w:val="00D16674"/>
    <w:rsid w:val="00D4351D"/>
    <w:rsid w:val="00D565CB"/>
    <w:rsid w:val="00D60857"/>
    <w:rsid w:val="00D67C22"/>
    <w:rsid w:val="00D67F65"/>
    <w:rsid w:val="00D76A02"/>
    <w:rsid w:val="00D80EE6"/>
    <w:rsid w:val="00D81BC5"/>
    <w:rsid w:val="00DB129E"/>
    <w:rsid w:val="00DB597D"/>
    <w:rsid w:val="00DD17F2"/>
    <w:rsid w:val="00DD5B00"/>
    <w:rsid w:val="00DD624A"/>
    <w:rsid w:val="00DE3739"/>
    <w:rsid w:val="00DF1734"/>
    <w:rsid w:val="00E005A4"/>
    <w:rsid w:val="00E15CA2"/>
    <w:rsid w:val="00E239DB"/>
    <w:rsid w:val="00E313F7"/>
    <w:rsid w:val="00E40461"/>
    <w:rsid w:val="00E61E6D"/>
    <w:rsid w:val="00E86115"/>
    <w:rsid w:val="00EC085F"/>
    <w:rsid w:val="00EC0ACE"/>
    <w:rsid w:val="00EE60DA"/>
    <w:rsid w:val="00EF28C4"/>
    <w:rsid w:val="00F2295B"/>
    <w:rsid w:val="00F85F40"/>
    <w:rsid w:val="00F8761D"/>
    <w:rsid w:val="00F87717"/>
    <w:rsid w:val="00F95B12"/>
    <w:rsid w:val="00FC5914"/>
    <w:rsid w:val="00FD5722"/>
    <w:rsid w:val="00FF37CE"/>
    <w:rsid w:val="00FF4907"/>
    <w:rsid w:val="00FF4E72"/>
    <w:rsid w:val="00FF7BAD"/>
    <w:rsid w:val="012C5427"/>
    <w:rsid w:val="01DF50D5"/>
    <w:rsid w:val="0225A446"/>
    <w:rsid w:val="038338FD"/>
    <w:rsid w:val="043FCD6A"/>
    <w:rsid w:val="04709D1B"/>
    <w:rsid w:val="04A4B63A"/>
    <w:rsid w:val="050A6EC0"/>
    <w:rsid w:val="0537D763"/>
    <w:rsid w:val="055D4508"/>
    <w:rsid w:val="05962306"/>
    <w:rsid w:val="05FD9A61"/>
    <w:rsid w:val="080C6FDB"/>
    <w:rsid w:val="093FEDEC"/>
    <w:rsid w:val="09B31702"/>
    <w:rsid w:val="09C45160"/>
    <w:rsid w:val="0C1BD2DC"/>
    <w:rsid w:val="0C7D672A"/>
    <w:rsid w:val="0C95A9DD"/>
    <w:rsid w:val="0E021E4F"/>
    <w:rsid w:val="0E8BF312"/>
    <w:rsid w:val="0EB8D8F1"/>
    <w:rsid w:val="0F480181"/>
    <w:rsid w:val="0FA68450"/>
    <w:rsid w:val="11B95BA9"/>
    <w:rsid w:val="127C1E7D"/>
    <w:rsid w:val="12B6CC87"/>
    <w:rsid w:val="131F3BEE"/>
    <w:rsid w:val="13BE9AE0"/>
    <w:rsid w:val="161767E7"/>
    <w:rsid w:val="172B19C3"/>
    <w:rsid w:val="185C75E0"/>
    <w:rsid w:val="18B2249A"/>
    <w:rsid w:val="18C67906"/>
    <w:rsid w:val="18CD1441"/>
    <w:rsid w:val="191B196F"/>
    <w:rsid w:val="1BB06E3D"/>
    <w:rsid w:val="1C86308C"/>
    <w:rsid w:val="1D55DDEB"/>
    <w:rsid w:val="1E3B0763"/>
    <w:rsid w:val="1F091041"/>
    <w:rsid w:val="1FE5BA67"/>
    <w:rsid w:val="20F0EC9C"/>
    <w:rsid w:val="215BEA30"/>
    <w:rsid w:val="218066FA"/>
    <w:rsid w:val="2259D960"/>
    <w:rsid w:val="22EFD977"/>
    <w:rsid w:val="2430C664"/>
    <w:rsid w:val="26C97FD3"/>
    <w:rsid w:val="272D4A83"/>
    <w:rsid w:val="273745B6"/>
    <w:rsid w:val="27D59DF5"/>
    <w:rsid w:val="28633F64"/>
    <w:rsid w:val="2AC8C2F1"/>
    <w:rsid w:val="2B0EC8AA"/>
    <w:rsid w:val="2B197501"/>
    <w:rsid w:val="2BD6D7EA"/>
    <w:rsid w:val="2DB6DC94"/>
    <w:rsid w:val="2E231103"/>
    <w:rsid w:val="2F439271"/>
    <w:rsid w:val="3069533F"/>
    <w:rsid w:val="32649EA0"/>
    <w:rsid w:val="330A4754"/>
    <w:rsid w:val="34903659"/>
    <w:rsid w:val="35B79037"/>
    <w:rsid w:val="35C07CF1"/>
    <w:rsid w:val="36DA086D"/>
    <w:rsid w:val="37903A47"/>
    <w:rsid w:val="37E980DA"/>
    <w:rsid w:val="381B72E1"/>
    <w:rsid w:val="386855EF"/>
    <w:rsid w:val="396AD7C3"/>
    <w:rsid w:val="39DFA662"/>
    <w:rsid w:val="3A3BBAE3"/>
    <w:rsid w:val="3B3BAEC8"/>
    <w:rsid w:val="3B9BD877"/>
    <w:rsid w:val="3BCFC0E4"/>
    <w:rsid w:val="3C4FDBBA"/>
    <w:rsid w:val="3C550FCC"/>
    <w:rsid w:val="3D5D005D"/>
    <w:rsid w:val="3DA72619"/>
    <w:rsid w:val="3DAF2C23"/>
    <w:rsid w:val="3DBACCF1"/>
    <w:rsid w:val="3EC42841"/>
    <w:rsid w:val="3F4D3C05"/>
    <w:rsid w:val="3F7E07C2"/>
    <w:rsid w:val="41C4EB29"/>
    <w:rsid w:val="41FB21AA"/>
    <w:rsid w:val="41FB3E7D"/>
    <w:rsid w:val="421F2714"/>
    <w:rsid w:val="44547E7D"/>
    <w:rsid w:val="4467169A"/>
    <w:rsid w:val="44B8A478"/>
    <w:rsid w:val="45D6650C"/>
    <w:rsid w:val="47D4BE96"/>
    <w:rsid w:val="486A0806"/>
    <w:rsid w:val="48932BE9"/>
    <w:rsid w:val="4910CCCB"/>
    <w:rsid w:val="4A575B36"/>
    <w:rsid w:val="4A7CB8D4"/>
    <w:rsid w:val="4A9A488F"/>
    <w:rsid w:val="4B0C1830"/>
    <w:rsid w:val="4EFB1859"/>
    <w:rsid w:val="50011BBE"/>
    <w:rsid w:val="501DB4A6"/>
    <w:rsid w:val="513BB9E8"/>
    <w:rsid w:val="5157DBF8"/>
    <w:rsid w:val="51C9D41C"/>
    <w:rsid w:val="524944BE"/>
    <w:rsid w:val="52CF401C"/>
    <w:rsid w:val="5364D1FD"/>
    <w:rsid w:val="54355C81"/>
    <w:rsid w:val="54FD8C42"/>
    <w:rsid w:val="559F785F"/>
    <w:rsid w:val="565BCED9"/>
    <w:rsid w:val="567A7EA7"/>
    <w:rsid w:val="56B37DF3"/>
    <w:rsid w:val="5713CC2E"/>
    <w:rsid w:val="59D4E601"/>
    <w:rsid w:val="5AE51B84"/>
    <w:rsid w:val="5E2A6893"/>
    <w:rsid w:val="5EBABC0C"/>
    <w:rsid w:val="5F450608"/>
    <w:rsid w:val="5F651DBE"/>
    <w:rsid w:val="5FA28939"/>
    <w:rsid w:val="61351F0C"/>
    <w:rsid w:val="616E7616"/>
    <w:rsid w:val="61A40C15"/>
    <w:rsid w:val="63519DEC"/>
    <w:rsid w:val="63ECF206"/>
    <w:rsid w:val="64A29862"/>
    <w:rsid w:val="65F160BE"/>
    <w:rsid w:val="66D2228B"/>
    <w:rsid w:val="678E039F"/>
    <w:rsid w:val="67BAEF8A"/>
    <w:rsid w:val="681C677C"/>
    <w:rsid w:val="69BE5A32"/>
    <w:rsid w:val="69C26CFF"/>
    <w:rsid w:val="6A055A58"/>
    <w:rsid w:val="6AC6D4D0"/>
    <w:rsid w:val="6AEBD1A7"/>
    <w:rsid w:val="6B8D0E0B"/>
    <w:rsid w:val="6CE0E564"/>
    <w:rsid w:val="6DD131E7"/>
    <w:rsid w:val="6DE12797"/>
    <w:rsid w:val="6DFD4523"/>
    <w:rsid w:val="6E403AA2"/>
    <w:rsid w:val="6E7EFB7B"/>
    <w:rsid w:val="6FECF47B"/>
    <w:rsid w:val="70188626"/>
    <w:rsid w:val="7139337D"/>
    <w:rsid w:val="71B45687"/>
    <w:rsid w:val="71EABD26"/>
    <w:rsid w:val="72B69556"/>
    <w:rsid w:val="735026E8"/>
    <w:rsid w:val="73868D87"/>
    <w:rsid w:val="7414DAD6"/>
    <w:rsid w:val="74EFD3D6"/>
    <w:rsid w:val="76085708"/>
    <w:rsid w:val="76965628"/>
    <w:rsid w:val="76F12282"/>
    <w:rsid w:val="77E7EF68"/>
    <w:rsid w:val="78D5B6E9"/>
    <w:rsid w:val="7ACDAEA2"/>
    <w:rsid w:val="7AF6BE4E"/>
    <w:rsid w:val="7B7C7D31"/>
    <w:rsid w:val="7BC414A6"/>
    <w:rsid w:val="7C6D830C"/>
    <w:rsid w:val="7D4E5D6C"/>
    <w:rsid w:val="7E2132C0"/>
    <w:rsid w:val="7F493F15"/>
    <w:rsid w:val="7F6CD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CDDD3"/>
  <w15:chartTrackingRefBased/>
  <w15:docId w15:val="{4C9181D6-C753-4F95-AAC5-C9DBBE87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572"/>
    <w:pPr>
      <w:spacing w:before="120" w:after="120" w:line="360" w:lineRule="auto"/>
      <w:jc w:val="both"/>
    </w:pPr>
    <w:rPr>
      <w:rFonts w:ascii="Century Gothic" w:eastAsia="Calibri" w:hAnsi="Century Gothic" w:cs="Times New Roman"/>
      <w:color w:val="5B6770"/>
      <w:sz w:val="20"/>
      <w:szCs w:val="20"/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572"/>
    <w:pPr>
      <w:keepNext/>
      <w:keepLines/>
      <w:numPr>
        <w:numId w:val="3"/>
      </w:numPr>
      <w:spacing w:before="240" w:line="256" w:lineRule="auto"/>
      <w:outlineLvl w:val="0"/>
    </w:pPr>
    <w:rPr>
      <w:rFonts w:eastAsia="Times New Roman"/>
      <w:b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572"/>
    <w:pPr>
      <w:keepNext/>
      <w:keepLines/>
      <w:numPr>
        <w:ilvl w:val="1"/>
        <w:numId w:val="3"/>
      </w:numPr>
      <w:spacing w:before="40" w:line="256" w:lineRule="auto"/>
      <w:ind w:left="576"/>
      <w:jc w:val="left"/>
      <w:outlineLvl w:val="1"/>
    </w:pPr>
    <w:rPr>
      <w:rFonts w:eastAsia="Times New Roman"/>
      <w:b/>
      <w:color w:val="93D5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36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6194"/>
  </w:style>
  <w:style w:type="character" w:customStyle="1" w:styleId="eop">
    <w:name w:val="eop"/>
    <w:basedOn w:val="DefaultParagraphFont"/>
    <w:rsid w:val="00436194"/>
  </w:style>
  <w:style w:type="table" w:styleId="TableGrid">
    <w:name w:val="Table Grid"/>
    <w:basedOn w:val="TableNormal"/>
    <w:uiPriority w:val="39"/>
    <w:rsid w:val="0050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10572"/>
    <w:rPr>
      <w:rFonts w:ascii="Century Gothic" w:eastAsia="Times New Roman" w:hAnsi="Century Gothic" w:cs="Times New Roman"/>
      <w:b/>
      <w:color w:val="2F5496"/>
      <w:sz w:val="32"/>
      <w:szCs w:val="32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sid w:val="00C10572"/>
    <w:rPr>
      <w:rFonts w:ascii="Century Gothic" w:eastAsia="Times New Roman" w:hAnsi="Century Gothic" w:cs="Times New Roman"/>
      <w:b/>
      <w:color w:val="93D500"/>
      <w:sz w:val="20"/>
      <w:szCs w:val="26"/>
      <w:lang w:val="en-IE"/>
    </w:rPr>
  </w:style>
  <w:style w:type="paragraph" w:styleId="NoSpacing">
    <w:name w:val="No Spacing"/>
    <w:uiPriority w:val="1"/>
    <w:qFormat/>
    <w:rsid w:val="00A12D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7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5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0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572"/>
  </w:style>
  <w:style w:type="paragraph" w:styleId="Footer">
    <w:name w:val="footer"/>
    <w:basedOn w:val="Normal"/>
    <w:link w:val="FooterChar"/>
    <w:uiPriority w:val="99"/>
    <w:unhideWhenUsed/>
    <w:rsid w:val="00C10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572"/>
  </w:style>
  <w:style w:type="paragraph" w:customStyle="1" w:styleId="Heading31">
    <w:name w:val="Heading 31"/>
    <w:basedOn w:val="Normal"/>
    <w:next w:val="Normal"/>
    <w:uiPriority w:val="9"/>
    <w:unhideWhenUsed/>
    <w:qFormat/>
    <w:rsid w:val="00C10572"/>
    <w:pPr>
      <w:keepNext/>
      <w:keepLines/>
      <w:numPr>
        <w:ilvl w:val="2"/>
        <w:numId w:val="3"/>
      </w:numPr>
      <w:tabs>
        <w:tab w:val="num" w:pos="360"/>
      </w:tabs>
      <w:spacing w:before="40" w:line="256" w:lineRule="auto"/>
      <w:ind w:left="0" w:firstLine="0"/>
      <w:outlineLvl w:val="2"/>
    </w:pPr>
    <w:rPr>
      <w:rFonts w:eastAsia="Times New Roman"/>
      <w:szCs w:val="24"/>
    </w:rPr>
  </w:style>
  <w:style w:type="paragraph" w:customStyle="1" w:styleId="Heading32">
    <w:name w:val="Heading 32"/>
    <w:basedOn w:val="Normal"/>
    <w:next w:val="Normal"/>
    <w:uiPriority w:val="9"/>
    <w:unhideWhenUsed/>
    <w:qFormat/>
    <w:rsid w:val="00C10572"/>
    <w:pPr>
      <w:keepNext/>
      <w:keepLines/>
      <w:tabs>
        <w:tab w:val="num" w:pos="2160"/>
      </w:tabs>
      <w:spacing w:before="40" w:line="256" w:lineRule="auto"/>
      <w:ind w:left="2160" w:hanging="360"/>
      <w:outlineLvl w:val="2"/>
    </w:pPr>
    <w:rPr>
      <w:rFonts w:eastAsia="Times New Roman"/>
      <w:szCs w:val="24"/>
    </w:rPr>
  </w:style>
  <w:style w:type="paragraph" w:customStyle="1" w:styleId="Heading33">
    <w:name w:val="Heading 33"/>
    <w:basedOn w:val="Normal"/>
    <w:next w:val="Normal"/>
    <w:uiPriority w:val="9"/>
    <w:unhideWhenUsed/>
    <w:qFormat/>
    <w:rsid w:val="00C10572"/>
    <w:pPr>
      <w:keepNext/>
      <w:keepLines/>
      <w:tabs>
        <w:tab w:val="num" w:pos="2160"/>
      </w:tabs>
      <w:spacing w:before="40" w:line="256" w:lineRule="auto"/>
      <w:ind w:left="2160" w:hanging="360"/>
      <w:jc w:val="left"/>
      <w:outlineLvl w:val="2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5639F2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F7BAD"/>
    <w:pPr>
      <w:numPr>
        <w:numId w:val="1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6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D3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D38"/>
    <w:rPr>
      <w:rFonts w:ascii="Century Gothic" w:eastAsia="Calibri" w:hAnsi="Century Gothic" w:cs="Times New Roman"/>
      <w:color w:val="5B6770"/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D38"/>
    <w:rPr>
      <w:rFonts w:ascii="Century Gothic" w:eastAsia="Calibri" w:hAnsi="Century Gothic" w:cs="Times New Roman"/>
      <w:b/>
      <w:bCs/>
      <w:color w:val="5B6770"/>
      <w:sz w:val="20"/>
      <w:szCs w:val="20"/>
      <w:lang w:val="en-IE"/>
    </w:rPr>
  </w:style>
  <w:style w:type="paragraph" w:styleId="Revision">
    <w:name w:val="Revision"/>
    <w:hidden/>
    <w:uiPriority w:val="99"/>
    <w:semiHidden/>
    <w:rsid w:val="001F0DC0"/>
    <w:pPr>
      <w:spacing w:after="0" w:line="240" w:lineRule="auto"/>
    </w:pPr>
    <w:rPr>
      <w:rFonts w:ascii="Century Gothic" w:eastAsia="Calibri" w:hAnsi="Century Gothic" w:cs="Times New Roman"/>
      <w:color w:val="5B6770"/>
      <w:sz w:val="20"/>
      <w:szCs w:val="20"/>
      <w:lang w:val="en-I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307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45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456"/>
    <w:rPr>
      <w:rFonts w:ascii="Century Gothic" w:eastAsia="Calibri" w:hAnsi="Century Gothic" w:cs="Times New Roman"/>
      <w:color w:val="5B6770"/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462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erc.i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4c3e28-6f95-4886-b75a-06a2e2b4cc0d">
      <UserInfo>
        <DisplayName>Corridan, Eimear (Tyndall)</DisplayName>
        <AccountId>22</AccountId>
        <AccountType/>
      </UserInfo>
      <UserInfo>
        <DisplayName>De Tomassi, Luciano</DisplayName>
        <AccountId>17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CF2F388018A42A7AD3BAE5E12CBBB" ma:contentTypeVersion="11" ma:contentTypeDescription="Create a new document." ma:contentTypeScope="" ma:versionID="f96ad8d5a1c95491e2525388aa2e961f">
  <xsd:schema xmlns:xsd="http://www.w3.org/2001/XMLSchema" xmlns:xs="http://www.w3.org/2001/XMLSchema" xmlns:p="http://schemas.microsoft.com/office/2006/metadata/properties" xmlns:ns2="0d7c7a22-3d6d-49d5-880c-08a5959571db" xmlns:ns3="854c3e28-6f95-4886-b75a-06a2e2b4cc0d" targetNamespace="http://schemas.microsoft.com/office/2006/metadata/properties" ma:root="true" ma:fieldsID="9f66a4088ce8f3291964746bcefb8e3c" ns2:_="" ns3:_="">
    <xsd:import namespace="0d7c7a22-3d6d-49d5-880c-08a5959571db"/>
    <xsd:import namespace="854c3e28-6f95-4886-b75a-06a2e2b4c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c7a22-3d6d-49d5-880c-08a595957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c3e28-6f95-4886-b75a-06a2e2b4c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CED9F-21C7-4B57-A5B0-6D37D88E24C9}">
  <ds:schemaRefs>
    <ds:schemaRef ds:uri="http://schemas.microsoft.com/office/2006/metadata/properties"/>
    <ds:schemaRef ds:uri="http://schemas.microsoft.com/office/infopath/2007/PartnerControls"/>
    <ds:schemaRef ds:uri="854c3e28-6f95-4886-b75a-06a2e2b4cc0d"/>
  </ds:schemaRefs>
</ds:datastoreItem>
</file>

<file path=customXml/itemProps2.xml><?xml version="1.0" encoding="utf-8"?>
<ds:datastoreItem xmlns:ds="http://schemas.openxmlformats.org/officeDocument/2006/customXml" ds:itemID="{8A6911D6-9D20-44AA-BC94-9CC721CD4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c7a22-3d6d-49d5-880c-08a5959571db"/>
    <ds:schemaRef ds:uri="854c3e28-6f95-4886-b75a-06a2e2b4c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DC603E-DB76-4BC2-AC6F-EE2B57978C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2D35E8-78C4-4539-AFCA-45E3C618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Tomassi, Luciano</dc:creator>
  <cp:keywords/>
  <dc:description/>
  <cp:lastModifiedBy>Mazaher Hajibashi</cp:lastModifiedBy>
  <cp:revision>2</cp:revision>
  <dcterms:created xsi:type="dcterms:W3CDTF">2022-04-14T08:14:00Z</dcterms:created>
  <dcterms:modified xsi:type="dcterms:W3CDTF">2022-04-14T08:14:00Z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0x010100781CF2F388018A42A7AD3BAE5E12CBBB</vt:lpwstr>
  </property>
</Properties>
</file>